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32D7" w:rsidRPr="006E32D7" w:rsidRDefault="0040428A" w:rsidP="006E32D7">
      <w:pPr>
        <w:pStyle w:val="1"/>
        <w:rPr>
          <w:sz w:val="20"/>
          <w:szCs w:val="20"/>
        </w:rPr>
      </w:pPr>
      <w:bookmarkStart w:id="0" w:name="_GoBack"/>
      <w:bookmarkEnd w:id="0"/>
      <w:r w:rsidRPr="006E32D7">
        <w:t>註：本文預計為2016年12月國家教育研究院出版之「</w:t>
      </w:r>
      <w:r w:rsidR="006E32D7" w:rsidRPr="006E32D7">
        <w:rPr>
          <w:rFonts w:hint="eastAsia"/>
        </w:rPr>
        <w:t>普通高中課程規劃及行政準備」專書文稿，核心素養為十二年國教課綱的主軸，國中小亦可參考本文。另外，亦可參考范信賢（2016）。</w:t>
      </w:r>
      <w:r w:rsidR="006E32D7" w:rsidRPr="006E32D7">
        <w:rPr>
          <w:rFonts w:cs="InnMing-Bold" w:hint="eastAsia"/>
          <w:bCs/>
        </w:rPr>
        <w:t>核心素養與十二年國民基本教育課程綱要，</w:t>
      </w:r>
      <w:r w:rsidR="006E32D7" w:rsidRPr="006E32D7">
        <w:rPr>
          <w:rFonts w:hint="eastAsia"/>
        </w:rPr>
        <w:t>教育脈動，5。</w:t>
      </w:r>
      <w:hyperlink r:id="rId8" w:history="1">
        <w:r w:rsidR="006E32D7" w:rsidRPr="006E32D7">
          <w:rPr>
            <w:rStyle w:val="a9"/>
            <w:rFonts w:cs="NewInnMing-Light"/>
            <w:kern w:val="0"/>
            <w:sz w:val="20"/>
            <w:szCs w:val="20"/>
          </w:rPr>
          <w:t>http://pulse.naer.edu.tw/content.aspx?type=H&amp;sid=198</w:t>
        </w:r>
      </w:hyperlink>
    </w:p>
    <w:p w:rsidR="00833AB2" w:rsidRPr="00D22888" w:rsidRDefault="00833AB2" w:rsidP="005313CC">
      <w:pPr>
        <w:spacing w:beforeLines="50" w:before="180"/>
        <w:ind w:left="357" w:right="-198" w:hanging="357"/>
        <w:rPr>
          <w:rFonts w:asciiTheme="minorEastAsia" w:hAnsiTheme="minorEastAsia"/>
          <w:b/>
          <w:sz w:val="28"/>
          <w:szCs w:val="28"/>
        </w:rPr>
      </w:pPr>
      <w:r w:rsidRPr="00D22888">
        <w:rPr>
          <w:rFonts w:asciiTheme="minorEastAsia" w:hAnsiTheme="minorEastAsia"/>
          <w:b/>
          <w:sz w:val="28"/>
          <w:szCs w:val="28"/>
        </w:rPr>
        <w:t>1.</w:t>
      </w:r>
      <w:r w:rsidR="00C15031" w:rsidRPr="00D22888">
        <w:rPr>
          <w:rFonts w:asciiTheme="minorEastAsia" w:hAnsiTheme="minorEastAsia"/>
          <w:b/>
          <w:sz w:val="28"/>
          <w:szCs w:val="28"/>
        </w:rPr>
        <w:t>2</w:t>
      </w:r>
      <w:r w:rsidRPr="00D22888">
        <w:rPr>
          <w:rFonts w:asciiTheme="minorEastAsia" w:hAnsiTheme="minorEastAsia" w:hint="eastAsia"/>
          <w:b/>
          <w:sz w:val="28"/>
          <w:szCs w:val="28"/>
        </w:rPr>
        <w:t>素養導向與議題融入</w:t>
      </w:r>
    </w:p>
    <w:p w:rsidR="00833AB2" w:rsidRPr="005D0003" w:rsidRDefault="00833AB2" w:rsidP="005313CC">
      <w:pPr>
        <w:spacing w:beforeLines="50" w:before="180"/>
        <w:ind w:left="357" w:right="-198" w:hanging="357"/>
        <w:rPr>
          <w:rFonts w:asciiTheme="minorEastAsia" w:hAnsiTheme="minorEastAsia"/>
          <w:b/>
        </w:rPr>
      </w:pPr>
      <w:r w:rsidRPr="005D0003">
        <w:rPr>
          <w:rFonts w:asciiTheme="minorEastAsia" w:hAnsiTheme="minorEastAsia"/>
          <w:b/>
        </w:rPr>
        <w:t>1.</w:t>
      </w:r>
      <w:r w:rsidR="00C15031" w:rsidRPr="005D0003">
        <w:rPr>
          <w:rFonts w:asciiTheme="minorEastAsia" w:hAnsiTheme="minorEastAsia"/>
          <w:b/>
        </w:rPr>
        <w:t>2</w:t>
      </w:r>
      <w:r w:rsidRPr="005D0003">
        <w:rPr>
          <w:rFonts w:asciiTheme="minorEastAsia" w:hAnsiTheme="minorEastAsia"/>
          <w:b/>
        </w:rPr>
        <w:t>.1</w:t>
      </w:r>
      <w:r w:rsidRPr="005D0003">
        <w:rPr>
          <w:rFonts w:asciiTheme="minorEastAsia" w:hAnsiTheme="minorEastAsia" w:hint="eastAsia"/>
          <w:b/>
          <w:color w:val="000000" w:themeColor="text1"/>
          <w:szCs w:val="24"/>
        </w:rPr>
        <w:t>「核心素養」是什麼？</w:t>
      </w:r>
      <w:r w:rsidR="00D22888" w:rsidRPr="005D0003">
        <w:rPr>
          <w:rFonts w:asciiTheme="minorEastAsia" w:hAnsiTheme="minorEastAsia"/>
          <w:b/>
        </w:rPr>
        <w:t xml:space="preserve"> </w:t>
      </w:r>
    </w:p>
    <w:p w:rsidR="00833AB2" w:rsidRDefault="00833AB2" w:rsidP="005313CC">
      <w:pPr>
        <w:pStyle w:val="ad"/>
        <w:autoSpaceDE w:val="0"/>
        <w:autoSpaceDN w:val="0"/>
        <w:adjustRightInd w:val="0"/>
        <w:spacing w:beforeLines="50" w:before="180"/>
        <w:ind w:leftChars="0" w:left="0" w:firstLineChars="198" w:firstLine="475"/>
        <w:jc w:val="both"/>
        <w:rPr>
          <w:rFonts w:asciiTheme="minorEastAsia" w:hAnsiTheme="minorEastAsia"/>
        </w:rPr>
      </w:pPr>
      <w:r w:rsidRPr="0080577E">
        <w:rPr>
          <w:rFonts w:asciiTheme="minorEastAsia" w:hAnsiTheme="minorEastAsia" w:cs="NewInnMing-Light" w:hint="eastAsia"/>
          <w:kern w:val="0"/>
        </w:rPr>
        <w:t>以「素養」為核心思考國民教育課程的發展，兼顧學習者的自我實現及社會的優質發展，近年來日益受到國際組織及國內的重視。</w:t>
      </w:r>
      <w:r w:rsidR="000773FB" w:rsidRPr="0080577E">
        <w:rPr>
          <w:rStyle w:val="ac"/>
          <w:rFonts w:asciiTheme="minorEastAsia" w:hAnsiTheme="minorEastAsia" w:cs="NewInnMing-Light"/>
          <w:kern w:val="0"/>
        </w:rPr>
        <w:footnoteReference w:id="1"/>
      </w:r>
      <w:r>
        <w:rPr>
          <w:rFonts w:asciiTheme="minorEastAsia" w:hAnsiTheme="minorEastAsia" w:cs="NewInnMing-Light" w:hint="eastAsia"/>
          <w:kern w:val="0"/>
        </w:rPr>
        <w:t>國教院整合國內外相關研究，提出</w:t>
      </w:r>
      <w:r w:rsidRPr="00FA4FFE">
        <w:rPr>
          <w:rFonts w:asciiTheme="minorEastAsia" w:hAnsiTheme="minorEastAsia" w:hint="eastAsia"/>
        </w:rPr>
        <w:t>「</w:t>
      </w:r>
      <w:r w:rsidRPr="00FA4FFE">
        <w:rPr>
          <w:rFonts w:ascii="新細明體" w:hAnsi="新細明體" w:hint="eastAsia"/>
        </w:rPr>
        <w:t>十二</w:t>
      </w:r>
      <w:r w:rsidRPr="00FA4FFE">
        <w:rPr>
          <w:rFonts w:ascii="新細明體" w:hAnsi="新細明體"/>
        </w:rPr>
        <w:t>年</w:t>
      </w:r>
      <w:r w:rsidRPr="00FA4FFE">
        <w:rPr>
          <w:rFonts w:ascii="新細明體" w:hAnsi="新細明體" w:hint="eastAsia"/>
        </w:rPr>
        <w:t>國民基本教育</w:t>
      </w:r>
      <w:r w:rsidRPr="00FA4FFE">
        <w:rPr>
          <w:rFonts w:ascii="新細明體" w:hAnsi="新細明體"/>
        </w:rPr>
        <w:t>課程體系</w:t>
      </w:r>
      <w:r w:rsidRPr="00FA4FFE">
        <w:rPr>
          <w:rFonts w:ascii="新細明體" w:hAnsi="新細明體" w:hint="eastAsia"/>
        </w:rPr>
        <w:t>發展</w:t>
      </w:r>
      <w:r w:rsidRPr="00FA4FFE">
        <w:rPr>
          <w:rFonts w:ascii="新細明體" w:hAnsi="新細明體"/>
        </w:rPr>
        <w:t>指引</w:t>
      </w:r>
      <w:r w:rsidRPr="00FA4FFE">
        <w:rPr>
          <w:rFonts w:asciiTheme="minorEastAsia" w:hAnsiTheme="minorEastAsia" w:hint="eastAsia"/>
        </w:rPr>
        <w:t>」</w:t>
      </w:r>
      <w:r>
        <w:rPr>
          <w:rFonts w:asciiTheme="minorEastAsia" w:hAnsiTheme="minorEastAsia" w:hint="eastAsia"/>
        </w:rPr>
        <w:t>，經過</w:t>
      </w:r>
      <w:r w:rsidRPr="00FA4FFE">
        <w:rPr>
          <w:rFonts w:asciiTheme="minorEastAsia" w:hAnsiTheme="minorEastAsia" w:hint="eastAsia"/>
        </w:rPr>
        <w:t>教育部課程審議會通過後，確定以「核心素養」做為</w:t>
      </w:r>
      <w:r w:rsidR="001E4BBB" w:rsidRPr="000A5C1F">
        <w:rPr>
          <w:rFonts w:hint="eastAsia"/>
        </w:rPr>
        <w:t>十二年國教課綱</w:t>
      </w:r>
      <w:r w:rsidRPr="00FA4FFE">
        <w:rPr>
          <w:rFonts w:asciiTheme="minorEastAsia" w:hAnsiTheme="minorEastAsia" w:hint="eastAsia"/>
        </w:rPr>
        <w:t>發展的主軸</w:t>
      </w:r>
      <w:r>
        <w:rPr>
          <w:rFonts w:asciiTheme="minorEastAsia" w:hAnsiTheme="minorEastAsia" w:hint="eastAsia"/>
        </w:rPr>
        <w:t>。</w:t>
      </w:r>
    </w:p>
    <w:p w:rsidR="00AE7BB1" w:rsidRDefault="00833AB2" w:rsidP="005313CC">
      <w:pPr>
        <w:pStyle w:val="ad"/>
        <w:numPr>
          <w:ilvl w:val="0"/>
          <w:numId w:val="7"/>
        </w:numPr>
        <w:spacing w:beforeLines="50" w:before="180"/>
        <w:ind w:leftChars="0" w:right="-198"/>
        <w:rPr>
          <w:rFonts w:asciiTheme="minorEastAsia" w:hAnsiTheme="minorEastAsia"/>
          <w:b/>
          <w:color w:val="000000" w:themeColor="text1"/>
          <w:szCs w:val="24"/>
        </w:rPr>
      </w:pPr>
      <w:r w:rsidRPr="002E0CA3">
        <w:rPr>
          <w:rFonts w:asciiTheme="minorEastAsia" w:hAnsiTheme="minorEastAsia" w:hint="eastAsia"/>
          <w:b/>
          <w:color w:val="000000" w:themeColor="text1"/>
          <w:szCs w:val="24"/>
        </w:rPr>
        <w:t>核心素養意涵</w:t>
      </w:r>
    </w:p>
    <w:p w:rsidR="00833AB2" w:rsidRPr="00EF6CE3" w:rsidRDefault="00833AB2" w:rsidP="00833AB2">
      <w:pPr>
        <w:pStyle w:val="ad"/>
        <w:numPr>
          <w:ilvl w:val="0"/>
          <w:numId w:val="5"/>
        </w:numPr>
        <w:autoSpaceDE w:val="0"/>
        <w:autoSpaceDN w:val="0"/>
        <w:adjustRightInd w:val="0"/>
        <w:ind w:leftChars="0"/>
        <w:jc w:val="both"/>
        <w:rPr>
          <w:rFonts w:asciiTheme="minorEastAsia" w:hAnsiTheme="minorEastAsia"/>
        </w:rPr>
      </w:pPr>
      <w:r w:rsidRPr="00EF6CE3">
        <w:rPr>
          <w:rFonts w:asciiTheme="minorEastAsia" w:hAnsiTheme="minorEastAsia" w:hint="eastAsia"/>
        </w:rPr>
        <w:t>「素養」，同時涵蓋competence及literacy</w:t>
      </w:r>
      <w:r>
        <w:rPr>
          <w:rFonts w:asciiTheme="minorEastAsia" w:hAnsiTheme="minorEastAsia" w:hint="eastAsia"/>
        </w:rPr>
        <w:t>的概念</w:t>
      </w:r>
      <w:r w:rsidRPr="00EF6CE3">
        <w:rPr>
          <w:rFonts w:asciiTheme="minorEastAsia" w:hAnsiTheme="minorEastAsia" w:hint="eastAsia"/>
        </w:rPr>
        <w:t>，是指一個人接受教育後學習獲得知識、能力（ability）與態度</w:t>
      </w:r>
      <w:r>
        <w:rPr>
          <w:rFonts w:asciiTheme="minorEastAsia" w:hAnsiTheme="minorEastAsia" w:hint="eastAsia"/>
        </w:rPr>
        <w:t>，而能積極地回應個人或社會生活需求的綜合狀態。素養中擇其關鍵的、必要的、重要的，乃為「核心素養」</w:t>
      </w:r>
      <w:r w:rsidR="00FD4A0B">
        <w:rPr>
          <w:rStyle w:val="ac"/>
          <w:rFonts w:asciiTheme="minorEastAsia" w:hAnsiTheme="minorEastAsia"/>
        </w:rPr>
        <w:footnoteReference w:id="2"/>
      </w:r>
      <w:r>
        <w:rPr>
          <w:rFonts w:asciiTheme="minorEastAsia" w:hAnsiTheme="minorEastAsia" w:hint="eastAsia"/>
        </w:rPr>
        <w:t>，除</w:t>
      </w:r>
      <w:r w:rsidRPr="00020C1C">
        <w:rPr>
          <w:rFonts w:asciiTheme="minorEastAsia" w:hAnsiTheme="minorEastAsia" w:hint="eastAsia"/>
        </w:rPr>
        <w:t>承續過去課程綱要的「基本能力」、「核心能力」與「學科知識」，</w:t>
      </w:r>
      <w:r>
        <w:rPr>
          <w:rFonts w:asciiTheme="minorEastAsia" w:hAnsiTheme="minorEastAsia" w:hint="eastAsia"/>
        </w:rPr>
        <w:t>亦</w:t>
      </w:r>
      <w:r w:rsidRPr="00020C1C">
        <w:rPr>
          <w:rFonts w:asciiTheme="minorEastAsia" w:hAnsiTheme="minorEastAsia" w:hint="eastAsia"/>
        </w:rPr>
        <w:t>強調情意態度</w:t>
      </w:r>
      <w:r>
        <w:rPr>
          <w:rFonts w:asciiTheme="minorEastAsia" w:hAnsiTheme="minorEastAsia" w:hint="eastAsia"/>
        </w:rPr>
        <w:t>、學習策略、整合活用等</w:t>
      </w:r>
      <w:r w:rsidRPr="00020C1C">
        <w:rPr>
          <w:rFonts w:asciiTheme="minorEastAsia" w:hAnsiTheme="minorEastAsia" w:hint="eastAsia"/>
        </w:rPr>
        <w:t>層面</w:t>
      </w:r>
      <w:r w:rsidRPr="00EF6CE3">
        <w:rPr>
          <w:rFonts w:asciiTheme="minorEastAsia" w:hAnsiTheme="minorEastAsia" w:hint="eastAsia"/>
        </w:rPr>
        <w:t>。</w:t>
      </w:r>
    </w:p>
    <w:p w:rsidR="00833AB2" w:rsidRDefault="00833AB2" w:rsidP="00833AB2">
      <w:pPr>
        <w:pStyle w:val="ad"/>
        <w:numPr>
          <w:ilvl w:val="0"/>
          <w:numId w:val="5"/>
        </w:numPr>
        <w:autoSpaceDE w:val="0"/>
        <w:autoSpaceDN w:val="0"/>
        <w:adjustRightInd w:val="0"/>
        <w:ind w:leftChars="0"/>
        <w:jc w:val="both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轉化到</w:t>
      </w:r>
      <w:r w:rsidR="00946B53" w:rsidRPr="0080577E">
        <w:rPr>
          <w:rFonts w:asciiTheme="minorEastAsia" w:hAnsiTheme="minorEastAsia" w:hint="eastAsia"/>
        </w:rPr>
        <w:t>十二年國教</w:t>
      </w:r>
      <w:r>
        <w:rPr>
          <w:rFonts w:asciiTheme="minorEastAsia" w:hAnsiTheme="minorEastAsia" w:hint="eastAsia"/>
        </w:rPr>
        <w:t>課</w:t>
      </w:r>
      <w:r w:rsidRPr="00FA4FFE">
        <w:rPr>
          <w:rFonts w:asciiTheme="minorEastAsia" w:hAnsiTheme="minorEastAsia" w:hint="eastAsia"/>
        </w:rPr>
        <w:t>綱中</w:t>
      </w:r>
      <w:r>
        <w:rPr>
          <w:rFonts w:asciiTheme="minorEastAsia" w:hAnsiTheme="minorEastAsia" w:hint="eastAsia"/>
        </w:rPr>
        <w:t>，</w:t>
      </w:r>
      <w:r w:rsidRPr="00FA4FFE">
        <w:rPr>
          <w:rFonts w:asciiTheme="minorEastAsia" w:hAnsiTheme="minorEastAsia" w:hint="eastAsia"/>
        </w:rPr>
        <w:t>意指：</w:t>
      </w:r>
      <w:r w:rsidRPr="00EF6CE3">
        <w:rPr>
          <w:rFonts w:asciiTheme="minorEastAsia" w:hAnsiTheme="minorEastAsia" w:hint="eastAsia"/>
        </w:rPr>
        <w:t>「核心素養」是指一個人為適應現在生活及面對未來挑戰，所應具備的知識、能力與態度。「核心素養」強調學習不宜以學科知識及技能為限，而應關注學習與生活的結合，透過實踐力行而彰顯學習者的全人發展。</w:t>
      </w:r>
    </w:p>
    <w:p w:rsidR="00833AB2" w:rsidRPr="00826F24" w:rsidRDefault="00833AB2" w:rsidP="00833AB2">
      <w:pPr>
        <w:pStyle w:val="ad"/>
        <w:numPr>
          <w:ilvl w:val="0"/>
          <w:numId w:val="5"/>
        </w:numPr>
        <w:autoSpaceDE w:val="0"/>
        <w:autoSpaceDN w:val="0"/>
        <w:adjustRightInd w:val="0"/>
        <w:ind w:leftChars="0"/>
        <w:jc w:val="both"/>
        <w:rPr>
          <w:rFonts w:asciiTheme="minorEastAsia" w:hAnsiTheme="minorEastAsia"/>
        </w:rPr>
      </w:pPr>
      <w:r w:rsidRPr="00826F24">
        <w:rPr>
          <w:rFonts w:asciiTheme="minorEastAsia" w:hAnsiTheme="minorEastAsia" w:hint="eastAsia"/>
        </w:rPr>
        <w:t>核心素養</w:t>
      </w:r>
      <w:r w:rsidRPr="00826F24">
        <w:rPr>
          <w:rFonts w:asciiTheme="minorEastAsia" w:hAnsiTheme="minorEastAsia" w:cs="NewInnMing-Light" w:hint="eastAsia"/>
          <w:kern w:val="0"/>
        </w:rPr>
        <w:t>從</w:t>
      </w:r>
      <w:r w:rsidR="00D22888">
        <w:rPr>
          <w:rFonts w:asciiTheme="minorEastAsia" w:hAnsiTheme="minorEastAsia" w:cs="NewInnMing-Light" w:hint="eastAsia"/>
          <w:kern w:val="0"/>
        </w:rPr>
        <w:t>「</w:t>
      </w:r>
      <w:r w:rsidRPr="00826F24">
        <w:rPr>
          <w:rFonts w:asciiTheme="minorEastAsia" w:hAnsiTheme="minorEastAsia" w:cs="NewInnMing-Light" w:hint="eastAsia"/>
          <w:kern w:val="0"/>
        </w:rPr>
        <w:t>學生為</w:t>
      </w:r>
      <w:r w:rsidRPr="00826F24">
        <w:rPr>
          <w:rFonts w:asciiTheme="minorEastAsia" w:hAnsiTheme="minorEastAsia" w:hint="eastAsia"/>
        </w:rPr>
        <w:t>學習</w:t>
      </w:r>
      <w:r w:rsidRPr="00826F24">
        <w:rPr>
          <w:rFonts w:asciiTheme="minorEastAsia" w:hAnsiTheme="minorEastAsia" w:cs="NewInnMing-Light" w:hint="eastAsia"/>
          <w:kern w:val="0"/>
        </w:rPr>
        <w:t>主體</w:t>
      </w:r>
      <w:r w:rsidR="00D22888">
        <w:rPr>
          <w:rFonts w:asciiTheme="minorEastAsia" w:hAnsiTheme="minorEastAsia" w:cs="NewInnMing-Light" w:hint="eastAsia"/>
          <w:kern w:val="0"/>
        </w:rPr>
        <w:t>」</w:t>
      </w:r>
      <w:r w:rsidRPr="00826F24">
        <w:rPr>
          <w:rFonts w:asciiTheme="minorEastAsia" w:hAnsiTheme="minorEastAsia" w:cs="NewInnMing-Light" w:hint="eastAsia"/>
          <w:kern w:val="0"/>
        </w:rPr>
        <w:t>的觀點出發，</w:t>
      </w:r>
      <w:r w:rsidRPr="00826F24">
        <w:rPr>
          <w:rFonts w:asciiTheme="minorEastAsia" w:hAnsiTheme="minorEastAsia" w:hint="eastAsia"/>
        </w:rPr>
        <w:t>強調培養以人為本的「終身學習者」，並與「自發、互動、共好」的基本理念相連結，提出「自主行動」、「溝通互動」及「社會參與」等三大面向，其下再分為九大項目。核心素養</w:t>
      </w:r>
      <w:r w:rsidRPr="00826F24">
        <w:rPr>
          <w:rFonts w:asciiTheme="minorEastAsia" w:hAnsiTheme="minorEastAsia" w:hint="eastAsia"/>
        </w:rPr>
        <w:lastRenderedPageBreak/>
        <w:t>的架構</w:t>
      </w:r>
      <w:r w:rsidR="00D22888">
        <w:rPr>
          <w:rFonts w:asciiTheme="minorEastAsia" w:hAnsiTheme="minorEastAsia" w:hint="eastAsia"/>
        </w:rPr>
        <w:t>如</w:t>
      </w:r>
      <w:r w:rsidRPr="00826F24">
        <w:rPr>
          <w:rFonts w:asciiTheme="minorEastAsia" w:hAnsiTheme="minorEastAsia" w:hint="eastAsia"/>
        </w:rPr>
        <w:t>圖</w:t>
      </w:r>
      <w:r w:rsidR="00D22888">
        <w:rPr>
          <w:rFonts w:asciiTheme="minorEastAsia" w:hAnsiTheme="minorEastAsia" w:hint="eastAsia"/>
        </w:rPr>
        <w:t>1</w:t>
      </w:r>
      <w:r w:rsidR="00D22888">
        <w:rPr>
          <w:rFonts w:asciiTheme="minorEastAsia" w:hAnsiTheme="minorEastAsia"/>
        </w:rPr>
        <w:t>-1</w:t>
      </w:r>
      <w:r w:rsidRPr="00826F24">
        <w:rPr>
          <w:rFonts w:asciiTheme="minorEastAsia" w:hAnsiTheme="minorEastAsia" w:hint="eastAsia"/>
        </w:rPr>
        <w:t>：</w:t>
      </w:r>
    </w:p>
    <w:p w:rsidR="005D0003" w:rsidRPr="006D183D" w:rsidRDefault="00833AB2" w:rsidP="00833AB2">
      <w:pPr>
        <w:snapToGrid w:val="0"/>
        <w:spacing w:before="180" w:line="200" w:lineRule="atLeast"/>
        <w:ind w:left="245" w:hanging="245"/>
        <w:jc w:val="center"/>
        <w:rPr>
          <w:rFonts w:eastAsia="標楷體" w:hAnsi="標楷體"/>
        </w:rPr>
      </w:pPr>
      <w:r>
        <w:rPr>
          <w:rFonts w:eastAsia="標楷體" w:hAnsi="標楷體"/>
          <w:noProof/>
        </w:rPr>
        <w:drawing>
          <wp:inline distT="0" distB="0" distL="0" distR="0">
            <wp:extent cx="4254500" cy="3599372"/>
            <wp:effectExtent l="0" t="0" r="0" b="1270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4769" cy="36080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3AB2" w:rsidRDefault="00833AB2" w:rsidP="00833AB2">
      <w:pPr>
        <w:snapToGrid w:val="0"/>
        <w:spacing w:line="200" w:lineRule="atLeast"/>
        <w:ind w:firstLineChars="200" w:firstLine="400"/>
        <w:jc w:val="center"/>
        <w:rPr>
          <w:rFonts w:ascii="標楷體" w:eastAsia="標楷體" w:hAnsi="標楷體"/>
          <w:sz w:val="20"/>
          <w:szCs w:val="20"/>
        </w:rPr>
      </w:pPr>
      <w:r w:rsidRPr="00E72EDF">
        <w:rPr>
          <w:rFonts w:ascii="標楷體" w:eastAsia="標楷體" w:hAnsi="標楷體"/>
          <w:sz w:val="20"/>
          <w:szCs w:val="20"/>
        </w:rPr>
        <w:t>圖1</w:t>
      </w:r>
      <w:r w:rsidR="00D22888">
        <w:rPr>
          <w:rFonts w:ascii="標楷體" w:eastAsia="標楷體" w:hAnsi="標楷體"/>
          <w:sz w:val="20"/>
          <w:szCs w:val="20"/>
        </w:rPr>
        <w:t>-1</w:t>
      </w:r>
      <w:r w:rsidRPr="00E72EDF">
        <w:rPr>
          <w:rFonts w:ascii="標楷體" w:eastAsia="標楷體" w:hAnsi="標楷體"/>
          <w:sz w:val="20"/>
          <w:szCs w:val="20"/>
        </w:rPr>
        <w:t xml:space="preserve"> 核心素養的滾動圓輪意象</w:t>
      </w:r>
    </w:p>
    <w:p w:rsidR="005D0003" w:rsidRDefault="005D0003" w:rsidP="00833AB2">
      <w:pPr>
        <w:snapToGrid w:val="0"/>
        <w:spacing w:line="200" w:lineRule="atLeast"/>
        <w:ind w:firstLineChars="200" w:firstLine="400"/>
        <w:jc w:val="center"/>
        <w:rPr>
          <w:rFonts w:ascii="標楷體" w:eastAsia="標楷體" w:hAnsi="標楷體"/>
          <w:sz w:val="20"/>
          <w:szCs w:val="20"/>
        </w:rPr>
      </w:pPr>
    </w:p>
    <w:p w:rsidR="002E0CA3" w:rsidRPr="002E0CA3" w:rsidRDefault="002E0CA3" w:rsidP="005313CC">
      <w:pPr>
        <w:pStyle w:val="ad"/>
        <w:numPr>
          <w:ilvl w:val="0"/>
          <w:numId w:val="7"/>
        </w:numPr>
        <w:spacing w:beforeLines="50" w:before="180"/>
        <w:ind w:leftChars="0" w:right="-198"/>
        <w:rPr>
          <w:rFonts w:asciiTheme="minorEastAsia" w:hAnsiTheme="minorEastAsia"/>
          <w:b/>
          <w:color w:val="000000" w:themeColor="text1"/>
          <w:szCs w:val="24"/>
        </w:rPr>
      </w:pPr>
      <w:r w:rsidRPr="002E0CA3">
        <w:rPr>
          <w:rFonts w:asciiTheme="minorEastAsia" w:hAnsiTheme="minorEastAsia"/>
          <w:b/>
          <w:color w:val="000000" w:themeColor="text1"/>
          <w:szCs w:val="24"/>
        </w:rPr>
        <w:t>「核心素養」與「核心能力」的關係</w:t>
      </w:r>
    </w:p>
    <w:p w:rsidR="002E0CA3" w:rsidRPr="002E0CA3" w:rsidRDefault="002E0CA3" w:rsidP="002E0CA3">
      <w:pPr>
        <w:pStyle w:val="ad"/>
        <w:autoSpaceDE w:val="0"/>
        <w:autoSpaceDN w:val="0"/>
        <w:adjustRightInd w:val="0"/>
        <w:ind w:leftChars="0" w:left="426" w:firstLineChars="204" w:firstLine="490"/>
        <w:jc w:val="both"/>
        <w:rPr>
          <w:rFonts w:asciiTheme="minorEastAsia" w:hAnsiTheme="minorEastAsia"/>
        </w:rPr>
      </w:pPr>
      <w:r w:rsidRPr="002E0CA3">
        <w:rPr>
          <w:rFonts w:asciiTheme="minorEastAsia" w:hAnsiTheme="minorEastAsia" w:hint="eastAsia"/>
        </w:rPr>
        <w:t>現行</w:t>
      </w:r>
      <w:r w:rsidR="00946B53">
        <w:rPr>
          <w:rFonts w:asciiTheme="minorEastAsia" w:hAnsiTheme="minorEastAsia" w:hint="eastAsia"/>
        </w:rPr>
        <w:t>高中</w:t>
      </w:r>
      <w:r w:rsidRPr="002E0CA3">
        <w:rPr>
          <w:rFonts w:asciiTheme="minorEastAsia" w:hAnsiTheme="minorEastAsia" w:hint="eastAsia"/>
        </w:rPr>
        <w:t>課綱強調「核心能力」的重要性，</w:t>
      </w:r>
      <w:r w:rsidR="00946B53" w:rsidRPr="0080577E">
        <w:rPr>
          <w:rFonts w:asciiTheme="minorEastAsia" w:hAnsiTheme="minorEastAsia" w:hint="eastAsia"/>
        </w:rPr>
        <w:t>十二年國教</w:t>
      </w:r>
      <w:r w:rsidRPr="0080577E">
        <w:rPr>
          <w:rFonts w:asciiTheme="minorEastAsia" w:hAnsiTheme="minorEastAsia" w:hint="eastAsia"/>
        </w:rPr>
        <w:t>課綱則以「核心素養」做為課程教學發展的主軸。課綱研修具有延續性，</w:t>
      </w:r>
      <w:r w:rsidR="009B7BC5" w:rsidRPr="0080577E">
        <w:rPr>
          <w:rFonts w:asciiTheme="minorEastAsia" w:hAnsiTheme="minorEastAsia" w:hint="eastAsia"/>
        </w:rPr>
        <w:t>亦需與時俱進，就像資訊軟體也需</w:t>
      </w:r>
      <w:r w:rsidR="00FD4A0B">
        <w:rPr>
          <w:rFonts w:asciiTheme="minorEastAsia" w:hAnsiTheme="minorEastAsia" w:hint="eastAsia"/>
        </w:rPr>
        <w:t>定期</w:t>
      </w:r>
      <w:r w:rsidR="009B7BC5" w:rsidRPr="0080577E">
        <w:rPr>
          <w:rFonts w:asciiTheme="minorEastAsia" w:hAnsiTheme="minorEastAsia" w:hint="eastAsia"/>
        </w:rPr>
        <w:t>更新一般，「核心素養」就似「核心能力」的升級進化版，可說</w:t>
      </w:r>
      <w:r w:rsidRPr="0080577E">
        <w:rPr>
          <w:rFonts w:asciiTheme="minorEastAsia" w:hAnsiTheme="minorEastAsia" w:hint="eastAsia"/>
        </w:rPr>
        <w:t>核心素養豐富並落實核心能力的內涵</w:t>
      </w:r>
      <w:r w:rsidR="009B7BC5" w:rsidRPr="0080577E">
        <w:rPr>
          <w:rFonts w:asciiTheme="minorEastAsia" w:hAnsiTheme="minorEastAsia" w:hint="eastAsia"/>
        </w:rPr>
        <w:t>。</w:t>
      </w:r>
      <w:r w:rsidRPr="0080577E">
        <w:rPr>
          <w:rFonts w:asciiTheme="minorEastAsia" w:hAnsiTheme="minorEastAsia" w:hint="eastAsia"/>
        </w:rPr>
        <w:t>學校</w:t>
      </w:r>
      <w:r w:rsidR="00946B53" w:rsidRPr="0080577E">
        <w:rPr>
          <w:rFonts w:asciiTheme="minorEastAsia" w:hAnsiTheme="minorEastAsia" w:hint="eastAsia"/>
        </w:rPr>
        <w:t>可參照十二年國教課綱的核心素養內涵，將</w:t>
      </w:r>
      <w:r w:rsidRPr="0080577E">
        <w:rPr>
          <w:rFonts w:asciiTheme="minorEastAsia" w:hAnsiTheme="minorEastAsia" w:hint="eastAsia"/>
        </w:rPr>
        <w:t>現行</w:t>
      </w:r>
      <w:r w:rsidR="00946B53" w:rsidRPr="0080577E">
        <w:rPr>
          <w:rFonts w:asciiTheme="minorEastAsia" w:hAnsiTheme="minorEastAsia" w:hint="eastAsia"/>
        </w:rPr>
        <w:t>校</w:t>
      </w:r>
      <w:r w:rsidRPr="0080577E">
        <w:rPr>
          <w:rFonts w:asciiTheme="minorEastAsia" w:hAnsiTheme="minorEastAsia" w:hint="eastAsia"/>
        </w:rPr>
        <w:t>訂的學生圖像、能力指標等，加以檢視、修訂或轉化。</w:t>
      </w:r>
    </w:p>
    <w:p w:rsidR="002E0CA3" w:rsidRPr="002E0CA3" w:rsidRDefault="002E0CA3" w:rsidP="002E0CA3">
      <w:pPr>
        <w:pStyle w:val="ad"/>
        <w:numPr>
          <w:ilvl w:val="0"/>
          <w:numId w:val="5"/>
        </w:numPr>
        <w:autoSpaceDE w:val="0"/>
        <w:autoSpaceDN w:val="0"/>
        <w:adjustRightInd w:val="0"/>
        <w:ind w:leftChars="0"/>
        <w:jc w:val="both"/>
        <w:rPr>
          <w:rFonts w:asciiTheme="minorEastAsia" w:hAnsiTheme="minorEastAsia"/>
          <w:b/>
        </w:rPr>
      </w:pPr>
      <w:r w:rsidRPr="002E0CA3">
        <w:rPr>
          <w:rFonts w:asciiTheme="minorEastAsia" w:hAnsiTheme="minorEastAsia" w:hint="eastAsia"/>
          <w:b/>
        </w:rPr>
        <w:t>豐富：「</w:t>
      </w:r>
      <w:r w:rsidRPr="002E0CA3">
        <w:rPr>
          <w:rFonts w:asciiTheme="minorEastAsia" w:hAnsiTheme="minorEastAsia" w:hint="eastAsia"/>
        </w:rPr>
        <w:t>素養」承續了能力培養重於知識傳授的理念，但更強調</w:t>
      </w:r>
      <w:r w:rsidRPr="002E0CA3">
        <w:rPr>
          <w:rFonts w:asciiTheme="minorEastAsia" w:hAnsiTheme="minorEastAsia"/>
        </w:rPr>
        <w:t>學習者的主體性、情意態度、與情境結合的學習、學習歷程與策略、整合活用等層面，涵蓋更寬廣與豐富的內涵</w:t>
      </w:r>
      <w:r w:rsidRPr="002E0CA3">
        <w:rPr>
          <w:rFonts w:asciiTheme="minorEastAsia" w:hAnsiTheme="minorEastAsia" w:hint="eastAsia"/>
        </w:rPr>
        <w:t>。</w:t>
      </w:r>
    </w:p>
    <w:p w:rsidR="002E0CA3" w:rsidRPr="002E0CA3" w:rsidRDefault="002E0CA3" w:rsidP="002E0CA3">
      <w:pPr>
        <w:pStyle w:val="ad"/>
        <w:numPr>
          <w:ilvl w:val="0"/>
          <w:numId w:val="5"/>
        </w:numPr>
        <w:autoSpaceDE w:val="0"/>
        <w:autoSpaceDN w:val="0"/>
        <w:adjustRightInd w:val="0"/>
        <w:ind w:leftChars="0"/>
        <w:jc w:val="both"/>
        <w:rPr>
          <w:rFonts w:asciiTheme="minorEastAsia" w:hAnsiTheme="minorEastAsia"/>
        </w:rPr>
      </w:pPr>
      <w:r w:rsidRPr="002E0CA3">
        <w:rPr>
          <w:rFonts w:asciiTheme="minorEastAsia" w:hAnsiTheme="minorEastAsia"/>
          <w:b/>
        </w:rPr>
        <w:t>落實：</w:t>
      </w:r>
      <w:r w:rsidRPr="002E0CA3">
        <w:rPr>
          <w:rFonts w:asciiTheme="minorEastAsia" w:hAnsiTheme="minorEastAsia"/>
        </w:rPr>
        <w:t>透過總綱核心素養、領綱核心素養、領綱學習重點及實施要點等研訂，將能力、素養更確實的落實於課程發展及教學設計中。</w:t>
      </w:r>
    </w:p>
    <w:p w:rsidR="002E0CA3" w:rsidRDefault="002E0CA3" w:rsidP="005D0003">
      <w:pPr>
        <w:snapToGrid w:val="0"/>
        <w:spacing w:line="200" w:lineRule="atLeast"/>
        <w:rPr>
          <w:rFonts w:asciiTheme="minorEastAsia" w:hAnsiTheme="minorEastAsia"/>
          <w:b/>
        </w:rPr>
      </w:pPr>
    </w:p>
    <w:p w:rsidR="005D0003" w:rsidRPr="002E0CA3" w:rsidRDefault="005D0003" w:rsidP="005D0003">
      <w:pPr>
        <w:snapToGrid w:val="0"/>
        <w:spacing w:line="200" w:lineRule="atLeast"/>
        <w:rPr>
          <w:rFonts w:asciiTheme="minorEastAsia" w:hAnsiTheme="minorEastAsia"/>
          <w:b/>
          <w:sz w:val="20"/>
          <w:szCs w:val="20"/>
        </w:rPr>
      </w:pPr>
      <w:r w:rsidRPr="0080577E">
        <w:rPr>
          <w:rFonts w:asciiTheme="minorEastAsia" w:hAnsiTheme="minorEastAsia"/>
          <w:b/>
        </w:rPr>
        <w:t>1.2.</w:t>
      </w:r>
      <w:r w:rsidR="002E0CA3" w:rsidRPr="0080577E">
        <w:rPr>
          <w:rFonts w:asciiTheme="minorEastAsia" w:hAnsiTheme="minorEastAsia"/>
          <w:b/>
        </w:rPr>
        <w:t>2</w:t>
      </w:r>
      <w:r w:rsidRPr="0080577E">
        <w:rPr>
          <w:rFonts w:asciiTheme="minorEastAsia" w:hAnsiTheme="minorEastAsia" w:hint="eastAsia"/>
          <w:b/>
          <w:color w:val="000000" w:themeColor="text1"/>
          <w:szCs w:val="24"/>
        </w:rPr>
        <w:t>「核心素養」對普通高中課程及教學的影響？</w:t>
      </w:r>
    </w:p>
    <w:p w:rsidR="00833AB2" w:rsidRPr="004406F3" w:rsidRDefault="00833AB2" w:rsidP="005313CC">
      <w:pPr>
        <w:pStyle w:val="ad"/>
        <w:numPr>
          <w:ilvl w:val="0"/>
          <w:numId w:val="7"/>
        </w:numPr>
        <w:spacing w:beforeLines="50" w:before="180"/>
        <w:ind w:leftChars="0" w:right="-198"/>
        <w:rPr>
          <w:rFonts w:asciiTheme="minorEastAsia" w:hAnsiTheme="minorEastAsia"/>
          <w:b/>
          <w:color w:val="000000" w:themeColor="text1"/>
          <w:szCs w:val="24"/>
        </w:rPr>
      </w:pPr>
      <w:r w:rsidRPr="004406F3">
        <w:rPr>
          <w:rFonts w:asciiTheme="minorEastAsia" w:hAnsiTheme="minorEastAsia" w:hint="eastAsia"/>
          <w:b/>
          <w:color w:val="000000" w:themeColor="text1"/>
          <w:szCs w:val="24"/>
        </w:rPr>
        <w:t>核心素養與學校課程的關係</w:t>
      </w:r>
    </w:p>
    <w:p w:rsidR="00A577ED" w:rsidRPr="004406F3" w:rsidRDefault="00946B53" w:rsidP="004406F3">
      <w:pPr>
        <w:pStyle w:val="ad"/>
        <w:autoSpaceDE w:val="0"/>
        <w:autoSpaceDN w:val="0"/>
        <w:adjustRightInd w:val="0"/>
        <w:ind w:leftChars="0" w:left="426" w:firstLineChars="204" w:firstLine="490"/>
        <w:jc w:val="both"/>
        <w:rPr>
          <w:rFonts w:asciiTheme="minorEastAsia" w:hAnsiTheme="minorEastAsia"/>
        </w:rPr>
      </w:pPr>
      <w:r w:rsidRPr="004406F3">
        <w:rPr>
          <w:rFonts w:asciiTheme="minorEastAsia" w:hAnsiTheme="minorEastAsia" w:hint="eastAsia"/>
        </w:rPr>
        <w:t>十二年國教課綱</w:t>
      </w:r>
      <w:r w:rsidR="00A577ED" w:rsidRPr="004406F3">
        <w:rPr>
          <w:rFonts w:asciiTheme="minorEastAsia" w:hAnsiTheme="minorEastAsia" w:hint="eastAsia"/>
        </w:rPr>
        <w:t>中規範：「核心素養，將透過各學習階段、各課程類型的規劃，並結合領域綱要的研修，以落實於課程、教學與評量中。」</w:t>
      </w:r>
      <w:r w:rsidR="004406F3" w:rsidRPr="004406F3">
        <w:rPr>
          <w:rFonts w:asciiTheme="minorEastAsia" w:hAnsiTheme="minorEastAsia" w:hint="eastAsia"/>
          <w:color w:val="000000" w:themeColor="text1"/>
          <w:szCs w:val="24"/>
        </w:rPr>
        <w:t>核心素養與學校課程的關係</w:t>
      </w:r>
      <w:r w:rsidR="004406F3">
        <w:rPr>
          <w:rFonts w:asciiTheme="minorEastAsia" w:hAnsiTheme="minorEastAsia" w:hint="eastAsia"/>
          <w:color w:val="000000" w:themeColor="text1"/>
          <w:szCs w:val="24"/>
        </w:rPr>
        <w:t>，可從下列層面思考：</w:t>
      </w:r>
    </w:p>
    <w:p w:rsidR="00DA4547" w:rsidRDefault="00833AB2" w:rsidP="00833AB2">
      <w:pPr>
        <w:pStyle w:val="ad"/>
        <w:numPr>
          <w:ilvl w:val="0"/>
          <w:numId w:val="5"/>
        </w:numPr>
        <w:autoSpaceDE w:val="0"/>
        <w:autoSpaceDN w:val="0"/>
        <w:adjustRightInd w:val="0"/>
        <w:ind w:leftChars="0"/>
        <w:jc w:val="both"/>
        <w:rPr>
          <w:rFonts w:asciiTheme="minorEastAsia" w:hAnsiTheme="minorEastAsia"/>
        </w:rPr>
      </w:pPr>
      <w:r w:rsidRPr="00942A92">
        <w:rPr>
          <w:rFonts w:asciiTheme="minorEastAsia" w:hAnsiTheme="minorEastAsia" w:hint="eastAsia"/>
          <w:b/>
        </w:rPr>
        <w:t>理念願景</w:t>
      </w:r>
      <w:r>
        <w:rPr>
          <w:rFonts w:asciiTheme="minorEastAsia" w:hAnsiTheme="minorEastAsia" w:hint="eastAsia"/>
        </w:rPr>
        <w:t>：</w:t>
      </w:r>
      <w:r w:rsidRPr="00CA3DBD">
        <w:rPr>
          <w:rFonts w:asciiTheme="minorEastAsia" w:hAnsiTheme="minorEastAsia" w:hint="eastAsia"/>
        </w:rPr>
        <w:t>素養在彰顯學習者的</w:t>
      </w:r>
      <w:r w:rsidR="00035E0E" w:rsidRPr="0080577E">
        <w:rPr>
          <w:rFonts w:asciiTheme="minorEastAsia" w:hAnsiTheme="minorEastAsia" w:hint="eastAsia"/>
        </w:rPr>
        <w:t>主體性與</w:t>
      </w:r>
      <w:r w:rsidRPr="00CA3DBD">
        <w:rPr>
          <w:rFonts w:asciiTheme="minorEastAsia" w:hAnsiTheme="minorEastAsia" w:hint="eastAsia"/>
        </w:rPr>
        <w:t>全人發展，並使其成為終身學習者。之前的教育改革多以「競爭力」為鵠的，</w:t>
      </w:r>
      <w:r w:rsidR="00946B53">
        <w:rPr>
          <w:rFonts w:asciiTheme="minorEastAsia" w:hAnsiTheme="minorEastAsia" w:hint="eastAsia"/>
        </w:rPr>
        <w:t>十二年國教課綱</w:t>
      </w:r>
      <w:r w:rsidRPr="00CA3DBD">
        <w:rPr>
          <w:rFonts w:asciiTheme="minorEastAsia" w:hAnsiTheme="minorEastAsia" w:hint="eastAsia"/>
        </w:rPr>
        <w:t>是以學習者之主體</w:t>
      </w:r>
      <w:r w:rsidRPr="00CA3DBD">
        <w:rPr>
          <w:rFonts w:asciiTheme="minorEastAsia" w:hAnsiTheme="minorEastAsia" w:hint="eastAsia"/>
        </w:rPr>
        <w:lastRenderedPageBreak/>
        <w:t>陶養為宗旨，視教育本身即為「目的」，</w:t>
      </w:r>
      <w:r w:rsidR="00DA4547" w:rsidRPr="00CA3DBD">
        <w:rPr>
          <w:rFonts w:asciiTheme="minorEastAsia" w:hAnsiTheme="minorEastAsia" w:hint="eastAsia"/>
        </w:rPr>
        <w:t>教育的目的即在成人之美，</w:t>
      </w:r>
      <w:r w:rsidRPr="00CA3DBD">
        <w:rPr>
          <w:rFonts w:asciiTheme="minorEastAsia" w:hAnsiTheme="minorEastAsia" w:hint="eastAsia"/>
        </w:rPr>
        <w:t>而非僅止於做為提高競爭力的「手段」；換言之，競爭力是教育的「結果」，而非教育的「目的」。</w:t>
      </w:r>
    </w:p>
    <w:p w:rsidR="00833AB2" w:rsidRPr="0080577E" w:rsidRDefault="00DA4547" w:rsidP="00F63386">
      <w:pPr>
        <w:pStyle w:val="ad"/>
        <w:numPr>
          <w:ilvl w:val="0"/>
          <w:numId w:val="5"/>
        </w:numPr>
        <w:autoSpaceDE w:val="0"/>
        <w:autoSpaceDN w:val="0"/>
        <w:adjustRightInd w:val="0"/>
        <w:ind w:leftChars="0"/>
        <w:jc w:val="both"/>
        <w:rPr>
          <w:rFonts w:asciiTheme="minorEastAsia" w:hAnsiTheme="minorEastAsia"/>
        </w:rPr>
      </w:pPr>
      <w:r w:rsidRPr="0080577E">
        <w:rPr>
          <w:rFonts w:asciiTheme="minorEastAsia" w:hAnsiTheme="minorEastAsia" w:hint="eastAsia"/>
          <w:b/>
        </w:rPr>
        <w:t>課程</w:t>
      </w:r>
      <w:r w:rsidR="006D4597" w:rsidRPr="0080577E">
        <w:rPr>
          <w:rFonts w:asciiTheme="minorEastAsia" w:hAnsiTheme="minorEastAsia" w:hint="eastAsia"/>
          <w:b/>
        </w:rPr>
        <w:t>規劃</w:t>
      </w:r>
      <w:r w:rsidRPr="0080577E">
        <w:rPr>
          <w:rFonts w:asciiTheme="minorEastAsia" w:hAnsiTheme="minorEastAsia" w:hint="eastAsia"/>
        </w:rPr>
        <w:t>：</w:t>
      </w:r>
      <w:r w:rsidR="008E1EC8" w:rsidRPr="00E94DFF">
        <w:rPr>
          <w:rFonts w:asciiTheme="minorEastAsia" w:hAnsiTheme="minorEastAsia" w:hint="eastAsia"/>
        </w:rPr>
        <w:t>核心素養主要應用於高級中等學校的一般領域、科目，但學校可參照總綱的核心素養內涵，研訂學校願景、學生圖像、學習地圖、校訂課程等，做好「部定課程」及「校訂課程」的整體性規劃</w:t>
      </w:r>
      <w:r w:rsidR="0080577E" w:rsidRPr="00E94DFF">
        <w:rPr>
          <w:rFonts w:asciiTheme="minorEastAsia" w:hAnsiTheme="minorEastAsia" w:hint="eastAsia"/>
        </w:rPr>
        <w:t>，裨益學習結果的連貫以及各領域、科目間的統整</w:t>
      </w:r>
      <w:r w:rsidR="008E1EC8" w:rsidRPr="00E94DFF">
        <w:rPr>
          <w:rFonts w:asciiTheme="minorEastAsia" w:hAnsiTheme="minorEastAsia" w:hint="eastAsia"/>
        </w:rPr>
        <w:t>。</w:t>
      </w:r>
      <w:r w:rsidR="0080577E" w:rsidRPr="00E94DFF">
        <w:rPr>
          <w:rFonts w:asciiTheme="minorEastAsia" w:hAnsiTheme="minorEastAsia" w:hint="eastAsia"/>
        </w:rPr>
        <w:t>此外，素養學習亦強調跨科目、跨領域的整合，</w:t>
      </w:r>
      <w:r w:rsidR="0080577E" w:rsidRPr="0080577E">
        <w:rPr>
          <w:rFonts w:asciiTheme="minorEastAsia" w:hAnsiTheme="minorEastAsia" w:hint="eastAsia"/>
        </w:rPr>
        <w:t>可</w:t>
      </w:r>
      <w:r w:rsidR="0080577E" w:rsidRPr="0080577E">
        <w:rPr>
          <w:rFonts w:asciiTheme="minorEastAsia" w:hAnsiTheme="minorEastAsia"/>
        </w:rPr>
        <w:t>規劃跨科、跨領域的課程發展</w:t>
      </w:r>
      <w:r w:rsidR="0080577E" w:rsidRPr="0080577E">
        <w:rPr>
          <w:rStyle w:val="ac"/>
          <w:rFonts w:asciiTheme="minorEastAsia" w:hAnsiTheme="minorEastAsia"/>
        </w:rPr>
        <w:footnoteReference w:id="3"/>
      </w:r>
      <w:r w:rsidR="0080577E" w:rsidRPr="0080577E">
        <w:rPr>
          <w:rFonts w:asciiTheme="minorEastAsia" w:hAnsiTheme="minorEastAsia"/>
        </w:rPr>
        <w:t>，</w:t>
      </w:r>
      <w:r w:rsidR="0080577E" w:rsidRPr="0080577E">
        <w:rPr>
          <w:rFonts w:asciiTheme="minorEastAsia" w:hAnsiTheme="minorEastAsia" w:hint="eastAsia"/>
        </w:rPr>
        <w:t>並以專題、體驗、探究、實作、表現、活用為核心</w:t>
      </w:r>
      <w:r w:rsidR="00833AB2" w:rsidRPr="0080577E">
        <w:rPr>
          <w:rFonts w:asciiTheme="minorEastAsia" w:hAnsiTheme="minorEastAsia" w:hint="eastAsia"/>
        </w:rPr>
        <w:t>。</w:t>
      </w:r>
    </w:p>
    <w:p w:rsidR="00833AB2" w:rsidRPr="004406F3" w:rsidRDefault="006D4597" w:rsidP="001E4BBB">
      <w:pPr>
        <w:pStyle w:val="ad"/>
        <w:numPr>
          <w:ilvl w:val="0"/>
          <w:numId w:val="5"/>
        </w:numPr>
        <w:autoSpaceDE w:val="0"/>
        <w:autoSpaceDN w:val="0"/>
        <w:adjustRightInd w:val="0"/>
        <w:ind w:leftChars="0"/>
        <w:jc w:val="both"/>
        <w:rPr>
          <w:rFonts w:ascii="標楷體" w:eastAsia="標楷體" w:hAnsi="標楷體" w:cs="新細明體"/>
          <w:color w:val="000000"/>
          <w:highlight w:val="yellow"/>
        </w:rPr>
      </w:pPr>
      <w:r w:rsidRPr="006D4597">
        <w:rPr>
          <w:rFonts w:asciiTheme="minorEastAsia" w:hAnsiTheme="minorEastAsia"/>
          <w:b/>
        </w:rPr>
        <w:t>領域教學</w:t>
      </w:r>
      <w:r w:rsidRPr="006D4597">
        <w:rPr>
          <w:rFonts w:asciiTheme="minorEastAsia" w:hAnsiTheme="minorEastAsia"/>
        </w:rPr>
        <w:t>：</w:t>
      </w:r>
      <w:r w:rsidR="00833AB2" w:rsidRPr="006D4597">
        <w:rPr>
          <w:rFonts w:asciiTheme="minorEastAsia" w:hAnsiTheme="minorEastAsia" w:hint="eastAsia"/>
        </w:rPr>
        <w:t>總綱中訂有核心素養及各教育階段核心素養具體內涵，</w:t>
      </w:r>
      <w:r w:rsidR="00B300F4">
        <w:rPr>
          <w:rFonts w:asciiTheme="minorEastAsia" w:hAnsiTheme="minorEastAsia" w:hint="eastAsia"/>
        </w:rPr>
        <w:t>並</w:t>
      </w:r>
      <w:r w:rsidR="00B300F4" w:rsidRPr="006D4597">
        <w:rPr>
          <w:rFonts w:asciiTheme="minorEastAsia" w:hAnsiTheme="minorEastAsia" w:hint="eastAsia"/>
        </w:rPr>
        <w:t>透過各領域/科目課程綱要的研修</w:t>
      </w:r>
      <w:r w:rsidR="00B300F4">
        <w:rPr>
          <w:rFonts w:asciiTheme="minorEastAsia" w:hAnsiTheme="minorEastAsia" w:hint="eastAsia"/>
        </w:rPr>
        <w:t>，引導</w:t>
      </w:r>
      <w:r w:rsidR="00B300F4" w:rsidRPr="006D4597">
        <w:rPr>
          <w:rFonts w:asciiTheme="minorEastAsia" w:hAnsiTheme="minorEastAsia" w:hint="eastAsia"/>
        </w:rPr>
        <w:t>教科用書編寫、</w:t>
      </w:r>
      <w:r w:rsidR="00B300F4">
        <w:rPr>
          <w:rFonts w:asciiTheme="minorEastAsia" w:hAnsiTheme="minorEastAsia" w:hint="eastAsia"/>
        </w:rPr>
        <w:t>領域</w:t>
      </w:r>
      <w:r w:rsidR="00833AB2" w:rsidRPr="006D4597">
        <w:rPr>
          <w:rFonts w:asciiTheme="minorEastAsia" w:hAnsiTheme="minorEastAsia" w:hint="eastAsia"/>
        </w:rPr>
        <w:t>教學、學習評量。</w:t>
      </w:r>
      <w:r w:rsidR="00C04135">
        <w:rPr>
          <w:rFonts w:asciiTheme="minorEastAsia" w:hAnsiTheme="minorEastAsia" w:hint="eastAsia"/>
        </w:rPr>
        <w:t>領域</w:t>
      </w:r>
      <w:r w:rsidR="00B300F4">
        <w:rPr>
          <w:rFonts w:asciiTheme="minorEastAsia" w:hAnsiTheme="minorEastAsia" w:hint="eastAsia"/>
        </w:rPr>
        <w:t>教學可參考各領域課程綱要（特別是「學習重點」部分）</w:t>
      </w:r>
      <w:r w:rsidR="00B300F4">
        <w:rPr>
          <w:rStyle w:val="ac"/>
          <w:rFonts w:asciiTheme="minorEastAsia" w:hAnsiTheme="minorEastAsia"/>
        </w:rPr>
        <w:footnoteReference w:id="4"/>
      </w:r>
      <w:r w:rsidR="00B300F4">
        <w:rPr>
          <w:rFonts w:asciiTheme="minorEastAsia" w:hAnsiTheme="minorEastAsia" w:hint="eastAsia"/>
        </w:rPr>
        <w:t>，</w:t>
      </w:r>
      <w:r w:rsidR="00B300F4" w:rsidRPr="00B300F4">
        <w:rPr>
          <w:rFonts w:asciiTheme="minorEastAsia" w:hAnsiTheme="minorEastAsia" w:hint="eastAsia"/>
        </w:rPr>
        <w:t>將知識、技能、態度與生活情境緊密結合</w:t>
      </w:r>
      <w:r w:rsidR="00C04135" w:rsidRPr="0080577E">
        <w:rPr>
          <w:rFonts w:asciiTheme="minorEastAsia" w:hAnsiTheme="minorEastAsia" w:hint="eastAsia"/>
        </w:rPr>
        <w:t>並實踐力行，</w:t>
      </w:r>
      <w:r w:rsidR="00B300F4" w:rsidRPr="00B300F4">
        <w:rPr>
          <w:rFonts w:asciiTheme="minorEastAsia" w:hAnsiTheme="minorEastAsia" w:hint="eastAsia"/>
        </w:rPr>
        <w:t>以臻至</w:t>
      </w:r>
      <w:r w:rsidR="00B300F4" w:rsidRPr="004406F3">
        <w:rPr>
          <w:rFonts w:asciiTheme="minorEastAsia" w:hAnsiTheme="minorEastAsia" w:hint="eastAsia"/>
        </w:rPr>
        <w:t>理解</w:t>
      </w:r>
      <w:r w:rsidR="004406F3" w:rsidRPr="004406F3">
        <w:rPr>
          <w:rFonts w:asciiTheme="minorEastAsia" w:hAnsiTheme="minorEastAsia" w:hint="eastAsia"/>
        </w:rPr>
        <w:t>（understand</w:t>
      </w:r>
      <w:r w:rsidR="00C444F4">
        <w:rPr>
          <w:rFonts w:asciiTheme="minorEastAsia" w:hAnsiTheme="minorEastAsia"/>
        </w:rPr>
        <w:t>ing</w:t>
      </w:r>
      <w:r w:rsidR="004406F3" w:rsidRPr="004406F3">
        <w:rPr>
          <w:rFonts w:asciiTheme="minorEastAsia" w:hAnsiTheme="minorEastAsia" w:hint="eastAsia"/>
        </w:rPr>
        <w:t>）</w:t>
      </w:r>
      <w:r w:rsidR="00B300F4" w:rsidRPr="004406F3">
        <w:rPr>
          <w:rFonts w:asciiTheme="minorEastAsia" w:hAnsiTheme="minorEastAsia" w:hint="eastAsia"/>
        </w:rPr>
        <w:t>的學習、意義</w:t>
      </w:r>
      <w:r w:rsidR="004406F3" w:rsidRPr="004406F3">
        <w:rPr>
          <w:rFonts w:asciiTheme="minorEastAsia" w:hAnsiTheme="minorEastAsia" w:hint="eastAsia"/>
        </w:rPr>
        <w:t>感知（making sense）</w:t>
      </w:r>
      <w:r w:rsidR="00B300F4" w:rsidRPr="004406F3">
        <w:rPr>
          <w:rFonts w:asciiTheme="minorEastAsia" w:hAnsiTheme="minorEastAsia" w:hint="eastAsia"/>
        </w:rPr>
        <w:t>的學習。</w:t>
      </w:r>
    </w:p>
    <w:p w:rsidR="00561B19" w:rsidRDefault="006D4597" w:rsidP="001E4BBB">
      <w:pPr>
        <w:pStyle w:val="ad"/>
        <w:numPr>
          <w:ilvl w:val="0"/>
          <w:numId w:val="5"/>
        </w:numPr>
        <w:autoSpaceDE w:val="0"/>
        <w:autoSpaceDN w:val="0"/>
        <w:adjustRightInd w:val="0"/>
        <w:ind w:leftChars="0"/>
        <w:jc w:val="both"/>
        <w:rPr>
          <w:rFonts w:asciiTheme="minorEastAsia" w:hAnsiTheme="minorEastAsia"/>
        </w:rPr>
      </w:pPr>
      <w:r>
        <w:rPr>
          <w:rFonts w:asciiTheme="minorEastAsia" w:hAnsiTheme="minorEastAsia"/>
          <w:b/>
        </w:rPr>
        <w:t>學習評量：</w:t>
      </w:r>
      <w:r w:rsidR="003F2FB5" w:rsidRPr="003F2FB5">
        <w:rPr>
          <w:rFonts w:asciiTheme="minorEastAsia" w:hAnsiTheme="minorEastAsia"/>
        </w:rPr>
        <w:t>請見</w:t>
      </w:r>
      <w:r w:rsidR="00561B19">
        <w:rPr>
          <w:rFonts w:asciiTheme="minorEastAsia" w:hAnsiTheme="minorEastAsia"/>
        </w:rPr>
        <w:t>「</w:t>
      </w:r>
      <w:r w:rsidR="003F2FB5">
        <w:rPr>
          <w:rFonts w:asciiTheme="minorEastAsia" w:hAnsiTheme="minorEastAsia" w:hint="eastAsia"/>
        </w:rPr>
        <w:t>1</w:t>
      </w:r>
      <w:r w:rsidR="00733A2D">
        <w:rPr>
          <w:rFonts w:asciiTheme="minorEastAsia" w:hAnsiTheme="minorEastAsia"/>
        </w:rPr>
        <w:t>.</w:t>
      </w:r>
      <w:r w:rsidR="00561B19">
        <w:rPr>
          <w:rFonts w:asciiTheme="minorEastAsia" w:hAnsiTheme="minorEastAsia"/>
        </w:rPr>
        <w:t>2.3</w:t>
      </w:r>
      <w:r w:rsidR="00561B19" w:rsidRPr="00561B19">
        <w:rPr>
          <w:rFonts w:asciiTheme="minorEastAsia" w:hAnsiTheme="minorEastAsia"/>
        </w:rPr>
        <w:t>素養導向的評量可以怎麼做？</w:t>
      </w:r>
      <w:r w:rsidR="00561B19">
        <w:rPr>
          <w:rFonts w:asciiTheme="minorEastAsia" w:hAnsiTheme="minorEastAsia"/>
        </w:rPr>
        <w:t>」</w:t>
      </w:r>
    </w:p>
    <w:p w:rsidR="00561B19" w:rsidRDefault="00561B19">
      <w:pPr>
        <w:widowControl/>
        <w:rPr>
          <w:rFonts w:asciiTheme="minorEastAsia" w:hAnsiTheme="minorEastAsia"/>
        </w:rPr>
      </w:pPr>
      <w:r>
        <w:rPr>
          <w:rFonts w:asciiTheme="minorEastAsia" w:hAnsiTheme="minorEastAsia"/>
        </w:rPr>
        <w:br w:type="page"/>
      </w:r>
    </w:p>
    <w:tbl>
      <w:tblPr>
        <w:tblStyle w:val="af0"/>
        <w:tblW w:w="0" w:type="auto"/>
        <w:tblInd w:w="360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46"/>
      </w:tblGrid>
      <w:tr w:rsidR="001C58B8" w:rsidRPr="00307AEE" w:rsidTr="00FD4A0B">
        <w:tc>
          <w:tcPr>
            <w:tcW w:w="7936" w:type="dxa"/>
          </w:tcPr>
          <w:p w:rsidR="00E42BCE" w:rsidRPr="00FD4A0B" w:rsidRDefault="00E42BCE" w:rsidP="00461C88">
            <w:pPr>
              <w:pStyle w:val="ad"/>
              <w:autoSpaceDE w:val="0"/>
              <w:autoSpaceDN w:val="0"/>
              <w:adjustRightInd w:val="0"/>
              <w:ind w:leftChars="0" w:left="0"/>
              <w:jc w:val="both"/>
              <w:rPr>
                <w:rFonts w:ascii="標楷體" w:eastAsia="標楷體" w:hAnsi="標楷體"/>
              </w:rPr>
            </w:pPr>
            <w:r w:rsidRPr="00FD4A0B">
              <w:rPr>
                <w:rFonts w:ascii="標楷體" w:eastAsia="標楷體" w:hAnsi="標楷體"/>
              </w:rPr>
              <w:lastRenderedPageBreak/>
              <w:t>【案例】</w:t>
            </w:r>
          </w:p>
          <w:p w:rsidR="001C58B8" w:rsidRPr="00FD4A0B" w:rsidRDefault="00E42BCE" w:rsidP="00574986">
            <w:pPr>
              <w:pStyle w:val="ad"/>
              <w:autoSpaceDE w:val="0"/>
              <w:autoSpaceDN w:val="0"/>
              <w:adjustRightInd w:val="0"/>
              <w:ind w:leftChars="0" w:left="0" w:firstLineChars="216" w:firstLine="518"/>
              <w:jc w:val="both"/>
              <w:rPr>
                <w:rFonts w:ascii="標楷體" w:eastAsia="標楷體" w:hAnsi="標楷體"/>
              </w:rPr>
            </w:pPr>
            <w:r w:rsidRPr="00FD4A0B">
              <w:rPr>
                <w:rFonts w:ascii="標楷體" w:eastAsia="標楷體" w:hAnsi="標楷體"/>
              </w:rPr>
              <w:t>臺北市</w:t>
            </w:r>
            <w:r w:rsidR="00747ED6" w:rsidRPr="00FD4A0B">
              <w:rPr>
                <w:rFonts w:ascii="標楷體" w:eastAsia="標楷體" w:hAnsi="標楷體" w:hint="eastAsia"/>
              </w:rPr>
              <w:t>立</w:t>
            </w:r>
            <w:r w:rsidRPr="00FD4A0B">
              <w:rPr>
                <w:rFonts w:ascii="標楷體" w:eastAsia="標楷體" w:hAnsi="標楷體"/>
              </w:rPr>
              <w:t>中正高中以</w:t>
            </w:r>
            <w:r w:rsidR="00747ED6" w:rsidRPr="00FD4A0B">
              <w:rPr>
                <w:rFonts w:ascii="標楷體" w:eastAsia="標楷體" w:hAnsi="標楷體" w:hint="eastAsia"/>
              </w:rPr>
              <w:t>100學年度既有校內師生共同研討出來的</w:t>
            </w:r>
            <w:r w:rsidR="00747ED6" w:rsidRPr="00FD4A0B">
              <w:rPr>
                <w:rFonts w:ascii="標楷體" w:eastAsia="標楷體" w:hAnsi="標楷體"/>
                <w:szCs w:val="24"/>
              </w:rPr>
              <w:t>學生圖像</w:t>
            </w:r>
            <w:r w:rsidR="00747ED6" w:rsidRPr="00FD4A0B">
              <w:rPr>
                <w:rFonts w:ascii="標楷體" w:eastAsia="標楷體" w:hAnsi="標楷體"/>
              </w:rPr>
              <w:t>為</w:t>
            </w:r>
            <w:r w:rsidR="00747ED6" w:rsidRPr="00FD4A0B">
              <w:rPr>
                <w:rFonts w:ascii="標楷體" w:eastAsia="標楷體" w:hAnsi="標楷體" w:hint="eastAsia"/>
              </w:rPr>
              <w:t>基礎，104學年度</w:t>
            </w:r>
            <w:r w:rsidR="00574986" w:rsidRPr="00FD4A0B">
              <w:rPr>
                <w:rFonts w:ascii="標楷體" w:eastAsia="標楷體" w:hAnsi="標楷體" w:hint="eastAsia"/>
              </w:rPr>
              <w:t>校內教師再</w:t>
            </w:r>
            <w:r w:rsidR="00747ED6" w:rsidRPr="00FD4A0B">
              <w:rPr>
                <w:rFonts w:ascii="標楷體" w:eastAsia="標楷體" w:hAnsi="標楷體" w:hint="eastAsia"/>
              </w:rPr>
              <w:t>融入轉化十二年國教課綱</w:t>
            </w:r>
            <w:r w:rsidR="00574986" w:rsidRPr="00FD4A0B">
              <w:rPr>
                <w:rFonts w:ascii="標楷體" w:eastAsia="標楷體" w:hAnsi="標楷體" w:hint="eastAsia"/>
              </w:rPr>
              <w:t>核心</w:t>
            </w:r>
            <w:r w:rsidRPr="00FD4A0B">
              <w:rPr>
                <w:rFonts w:ascii="標楷體" w:eastAsia="標楷體" w:hAnsi="標楷體"/>
                <w:szCs w:val="24"/>
              </w:rPr>
              <w:t>素</w:t>
            </w:r>
            <w:r w:rsidR="00747ED6" w:rsidRPr="00FD4A0B">
              <w:rPr>
                <w:rFonts w:ascii="標楷體" w:eastAsia="標楷體" w:hAnsi="標楷體"/>
                <w:szCs w:val="24"/>
              </w:rPr>
              <w:t>養</w:t>
            </w:r>
            <w:r w:rsidRPr="00FD4A0B">
              <w:rPr>
                <w:rFonts w:ascii="標楷體" w:eastAsia="標楷體" w:hAnsi="標楷體"/>
              </w:rPr>
              <w:t>，</w:t>
            </w:r>
            <w:r w:rsidR="00747ED6" w:rsidRPr="00FD4A0B">
              <w:rPr>
                <w:rFonts w:ascii="標楷體" w:eastAsia="標楷體" w:hAnsi="標楷體" w:hint="eastAsia"/>
              </w:rPr>
              <w:t>在共識和可行兩大原則下，</w:t>
            </w:r>
            <w:r w:rsidR="00574986" w:rsidRPr="00FD4A0B">
              <w:rPr>
                <w:rFonts w:ascii="標楷體" w:eastAsia="標楷體" w:hAnsi="標楷體" w:hint="eastAsia"/>
              </w:rPr>
              <w:t>以學生圖像</w:t>
            </w:r>
            <w:r w:rsidR="00574986" w:rsidRPr="00FD4A0B">
              <w:rPr>
                <w:rFonts w:ascii="標楷體" w:eastAsia="標楷體" w:hAnsi="標楷體"/>
                <w:szCs w:val="24"/>
              </w:rPr>
              <w:t>及</w:t>
            </w:r>
            <w:r w:rsidR="00574986" w:rsidRPr="00FD4A0B">
              <w:rPr>
                <w:rFonts w:ascii="標楷體" w:eastAsia="標楷體" w:hAnsi="標楷體"/>
              </w:rPr>
              <w:t>核心</w:t>
            </w:r>
            <w:r w:rsidR="00574986" w:rsidRPr="00FD4A0B">
              <w:rPr>
                <w:rFonts w:ascii="標楷體" w:eastAsia="標楷體" w:hAnsi="標楷體"/>
                <w:szCs w:val="24"/>
              </w:rPr>
              <w:t>能力</w:t>
            </w:r>
            <w:r w:rsidR="00574986" w:rsidRPr="00FD4A0B">
              <w:rPr>
                <w:rFonts w:ascii="標楷體" w:eastAsia="標楷體" w:hAnsi="標楷體" w:hint="eastAsia"/>
              </w:rPr>
              <w:t>為焦點，</w:t>
            </w:r>
            <w:r w:rsidRPr="00FD4A0B">
              <w:rPr>
                <w:rFonts w:ascii="標楷體" w:eastAsia="標楷體" w:hAnsi="標楷體"/>
              </w:rPr>
              <w:t>展化</w:t>
            </w:r>
            <w:r w:rsidR="00747ED6" w:rsidRPr="00FD4A0B">
              <w:rPr>
                <w:rFonts w:ascii="標楷體" w:eastAsia="標楷體" w:hAnsi="標楷體" w:hint="eastAsia"/>
              </w:rPr>
              <w:t>107學年度</w:t>
            </w:r>
            <w:r w:rsidRPr="00FD4A0B">
              <w:rPr>
                <w:rFonts w:ascii="標楷體" w:eastAsia="標楷體" w:hAnsi="標楷體"/>
              </w:rPr>
              <w:t>學校總體課程計畫</w:t>
            </w:r>
            <w:r w:rsidR="00574986" w:rsidRPr="00FD4A0B">
              <w:rPr>
                <w:rFonts w:ascii="標楷體" w:eastAsia="標楷體" w:hAnsi="標楷體"/>
              </w:rPr>
              <w:t>。</w:t>
            </w:r>
          </w:p>
          <w:p w:rsidR="00E42BCE" w:rsidRDefault="00E42BCE" w:rsidP="00461C88">
            <w:pPr>
              <w:pStyle w:val="ad"/>
              <w:autoSpaceDE w:val="0"/>
              <w:autoSpaceDN w:val="0"/>
              <w:adjustRightInd w:val="0"/>
              <w:ind w:leftChars="0" w:left="0"/>
              <w:jc w:val="both"/>
              <w:rPr>
                <w:rFonts w:asciiTheme="minorEastAsia" w:hAnsiTheme="minorEastAsia"/>
                <w:b/>
                <w:shd w:val="pct15" w:color="auto" w:fill="FFFFFF"/>
              </w:rPr>
            </w:pPr>
            <w:r>
              <w:rPr>
                <w:noProof/>
              </w:rPr>
              <w:drawing>
                <wp:inline distT="0" distB="0" distL="0" distR="0">
                  <wp:extent cx="4945190" cy="3450566"/>
                  <wp:effectExtent l="0" t="0" r="8255" b="0"/>
                  <wp:docPr id="4" name="內容版面配置區 3" descr="本機胖胖:Users:user:Desktop:1207:1-08.png"/>
                  <wp:cNvGraphicFramePr>
                    <a:graphicFrameLocks xmlns:a="http://schemas.openxmlformats.org/drawingml/2006/main" noGrp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內容版面配置區 3" descr="本機胖胖:Users:user:Desktop:1207:1-08.png"/>
                          <pic:cNvPicPr>
                            <a:picLocks noGrp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156" t="11650" r="4629"/>
                          <a:stretch/>
                        </pic:blipFill>
                        <pic:spPr bwMode="auto">
                          <a:xfrm>
                            <a:off x="0" y="0"/>
                            <a:ext cx="4959120" cy="34602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ve="http://schemas.openxmlformats.org/markup-compatibility/2006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307AEE" w:rsidRPr="00307AEE" w:rsidRDefault="00E42BCE" w:rsidP="00E42BCE">
            <w:pPr>
              <w:pStyle w:val="ad"/>
              <w:autoSpaceDE w:val="0"/>
              <w:autoSpaceDN w:val="0"/>
              <w:adjustRightInd w:val="0"/>
              <w:ind w:leftChars="0" w:left="360"/>
              <w:jc w:val="center"/>
              <w:rPr>
                <w:rFonts w:asciiTheme="minorEastAsia" w:hAnsiTheme="minorEastAsia"/>
                <w:b/>
                <w:shd w:val="pct15" w:color="auto" w:fill="FFFFFF"/>
              </w:rPr>
            </w:pPr>
            <w:r w:rsidRPr="00307AEE">
              <w:rPr>
                <w:rFonts w:ascii="標楷體" w:eastAsia="標楷體" w:hAnsi="標楷體"/>
                <w:sz w:val="20"/>
                <w:szCs w:val="20"/>
              </w:rPr>
              <w:t>圖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1-</w:t>
            </w:r>
            <w:r w:rsidRPr="00307AEE">
              <w:rPr>
                <w:rFonts w:ascii="標楷體" w:eastAsia="標楷體" w:hAnsi="標楷體"/>
                <w:sz w:val="20"/>
                <w:szCs w:val="20"/>
              </w:rPr>
              <w:t xml:space="preserve">2 </w:t>
            </w:r>
            <w:r>
              <w:rPr>
                <w:rFonts w:ascii="標楷體" w:eastAsia="標楷體" w:hAnsi="標楷體"/>
                <w:sz w:val="20"/>
                <w:szCs w:val="20"/>
              </w:rPr>
              <w:t>學生圖像與課程規劃</w:t>
            </w:r>
            <w:r w:rsidRPr="00307AEE">
              <w:rPr>
                <w:rFonts w:ascii="標楷體" w:eastAsia="標楷體" w:hAnsi="標楷體"/>
                <w:sz w:val="20"/>
                <w:szCs w:val="20"/>
              </w:rPr>
              <w:t>（資料來源：臺北市中正高中</w:t>
            </w:r>
            <w:r w:rsidRPr="00307AEE">
              <w:rPr>
                <w:rFonts w:ascii="標楷體" w:eastAsia="標楷體" w:hAnsi="標楷體" w:hint="eastAsia"/>
                <w:sz w:val="20"/>
                <w:szCs w:val="20"/>
              </w:rPr>
              <w:t>1050818</w:t>
            </w:r>
            <w:r w:rsidRPr="00307AEE">
              <w:rPr>
                <w:rFonts w:ascii="標楷體" w:eastAsia="標楷體" w:hAnsi="標楷體"/>
                <w:sz w:val="20"/>
                <w:szCs w:val="20"/>
              </w:rPr>
              <w:t>簡報）</w:t>
            </w:r>
          </w:p>
        </w:tc>
      </w:tr>
    </w:tbl>
    <w:p w:rsidR="001C58B8" w:rsidRDefault="001C58B8" w:rsidP="0059406D">
      <w:pPr>
        <w:pStyle w:val="ad"/>
        <w:autoSpaceDE w:val="0"/>
        <w:autoSpaceDN w:val="0"/>
        <w:adjustRightInd w:val="0"/>
        <w:ind w:leftChars="0" w:left="360"/>
        <w:jc w:val="center"/>
        <w:rPr>
          <w:rFonts w:asciiTheme="minorEastAsia" w:hAnsiTheme="minorEastAsia"/>
          <w:b/>
        </w:rPr>
      </w:pPr>
    </w:p>
    <w:p w:rsidR="00833AB2" w:rsidRDefault="00E42BCE" w:rsidP="005313CC">
      <w:pPr>
        <w:pStyle w:val="ad"/>
        <w:numPr>
          <w:ilvl w:val="0"/>
          <w:numId w:val="7"/>
        </w:numPr>
        <w:spacing w:beforeLines="50" w:before="180"/>
        <w:ind w:leftChars="0" w:right="-198"/>
        <w:rPr>
          <w:rFonts w:asciiTheme="minorEastAsia" w:hAnsiTheme="minorEastAsia" w:cs="新細明體"/>
          <w:b/>
          <w:color w:val="000000"/>
        </w:rPr>
      </w:pPr>
      <w:r>
        <w:rPr>
          <w:rFonts w:asciiTheme="minorEastAsia" w:hAnsiTheme="minorEastAsia" w:cs="新細明體"/>
          <w:b/>
          <w:color w:val="000000"/>
        </w:rPr>
        <w:t>素養</w:t>
      </w:r>
      <w:r w:rsidR="008E1EC8">
        <w:rPr>
          <w:rFonts w:asciiTheme="minorEastAsia" w:hAnsiTheme="minorEastAsia" w:cs="新細明體"/>
          <w:b/>
          <w:color w:val="000000"/>
        </w:rPr>
        <w:t>導向</w:t>
      </w:r>
      <w:r w:rsidR="0080577E">
        <w:rPr>
          <w:rFonts w:asciiTheme="minorEastAsia" w:hAnsiTheme="minorEastAsia" w:cs="新細明體"/>
          <w:b/>
          <w:color w:val="000000"/>
        </w:rPr>
        <w:t>教學</w:t>
      </w:r>
      <w:r w:rsidR="0080577E" w:rsidRPr="002E0CA3">
        <w:rPr>
          <w:rFonts w:asciiTheme="minorEastAsia" w:hAnsiTheme="minorEastAsia" w:cs="新細明體"/>
          <w:b/>
          <w:color w:val="000000"/>
        </w:rPr>
        <w:t>的</w:t>
      </w:r>
      <w:r w:rsidR="0080577E">
        <w:rPr>
          <w:rFonts w:asciiTheme="minorEastAsia" w:hAnsiTheme="minorEastAsia" w:cs="新細明體"/>
          <w:b/>
          <w:color w:val="000000"/>
        </w:rPr>
        <w:t>轉化原則</w:t>
      </w:r>
    </w:p>
    <w:p w:rsidR="0080577E" w:rsidRPr="0080577E" w:rsidRDefault="0080577E" w:rsidP="0080577E">
      <w:pPr>
        <w:pStyle w:val="ad"/>
        <w:autoSpaceDE w:val="0"/>
        <w:autoSpaceDN w:val="0"/>
        <w:adjustRightInd w:val="0"/>
        <w:ind w:leftChars="0" w:left="426" w:firstLineChars="204" w:firstLine="490"/>
        <w:jc w:val="both"/>
        <w:rPr>
          <w:rFonts w:asciiTheme="minorEastAsia" w:hAnsiTheme="minorEastAsia"/>
        </w:rPr>
      </w:pPr>
      <w:r w:rsidRPr="0080577E">
        <w:rPr>
          <w:rFonts w:asciiTheme="minorEastAsia" w:hAnsiTheme="minorEastAsia" w:hint="eastAsia"/>
        </w:rPr>
        <w:t>從</w:t>
      </w:r>
      <w:r>
        <w:rPr>
          <w:rFonts w:asciiTheme="minorEastAsia" w:hAnsiTheme="minorEastAsia" w:hint="eastAsia"/>
        </w:rPr>
        <w:t>「</w:t>
      </w:r>
      <w:r w:rsidRPr="0080577E">
        <w:rPr>
          <w:rFonts w:asciiTheme="minorEastAsia" w:hAnsiTheme="minorEastAsia" w:hint="eastAsia"/>
        </w:rPr>
        <w:t>素養</w:t>
      </w:r>
      <w:r>
        <w:rPr>
          <w:rFonts w:asciiTheme="minorEastAsia" w:hAnsiTheme="minorEastAsia" w:hint="eastAsia"/>
        </w:rPr>
        <w:t>」</w:t>
      </w:r>
      <w:r w:rsidRPr="0080577E">
        <w:rPr>
          <w:rFonts w:asciiTheme="minorEastAsia" w:hAnsiTheme="minorEastAsia" w:hint="eastAsia"/>
        </w:rPr>
        <w:t>意涵來看，</w:t>
      </w:r>
      <w:r>
        <w:rPr>
          <w:rFonts w:asciiTheme="minorEastAsia" w:hAnsiTheme="minorEastAsia" w:hint="eastAsia"/>
        </w:rPr>
        <w:t>素養導向的教學，宜注意下列原則：</w:t>
      </w:r>
    </w:p>
    <w:p w:rsidR="00833AB2" w:rsidRDefault="00833AB2" w:rsidP="00C15031">
      <w:pPr>
        <w:pStyle w:val="ad"/>
        <w:numPr>
          <w:ilvl w:val="0"/>
          <w:numId w:val="5"/>
        </w:numPr>
        <w:autoSpaceDE w:val="0"/>
        <w:autoSpaceDN w:val="0"/>
        <w:adjustRightInd w:val="0"/>
        <w:ind w:leftChars="0"/>
        <w:jc w:val="both"/>
        <w:rPr>
          <w:rFonts w:asciiTheme="minorEastAsia" w:hAnsiTheme="minorEastAsia"/>
        </w:rPr>
      </w:pPr>
      <w:r w:rsidRPr="002E194B">
        <w:rPr>
          <w:rFonts w:asciiTheme="minorEastAsia" w:hAnsiTheme="minorEastAsia" w:hint="eastAsia"/>
        </w:rPr>
        <w:t>把知識、技能、態度整合在一起，強調學習是完整的，不應只偏</w:t>
      </w:r>
      <w:r w:rsidR="00C15031">
        <w:rPr>
          <w:rFonts w:asciiTheme="minorEastAsia" w:hAnsiTheme="minorEastAsia" w:hint="eastAsia"/>
        </w:rPr>
        <w:t>重</w:t>
      </w:r>
      <w:r w:rsidRPr="002E194B">
        <w:rPr>
          <w:rFonts w:asciiTheme="minorEastAsia" w:hAnsiTheme="minorEastAsia" w:hint="eastAsia"/>
        </w:rPr>
        <w:t>知識</w:t>
      </w:r>
      <w:r w:rsidR="00C15031">
        <w:rPr>
          <w:rFonts w:asciiTheme="minorEastAsia" w:hAnsiTheme="minorEastAsia" w:hint="eastAsia"/>
        </w:rPr>
        <w:t>方</w:t>
      </w:r>
      <w:r w:rsidRPr="002E194B">
        <w:rPr>
          <w:rFonts w:asciiTheme="minorEastAsia" w:hAnsiTheme="minorEastAsia" w:hint="eastAsia"/>
        </w:rPr>
        <w:t>面。</w:t>
      </w:r>
    </w:p>
    <w:p w:rsidR="00833AB2" w:rsidRPr="002E194B" w:rsidRDefault="0003663C" w:rsidP="0003663C">
      <w:pPr>
        <w:pStyle w:val="ad"/>
        <w:numPr>
          <w:ilvl w:val="0"/>
          <w:numId w:val="5"/>
        </w:numPr>
        <w:autoSpaceDE w:val="0"/>
        <w:autoSpaceDN w:val="0"/>
        <w:adjustRightInd w:val="0"/>
        <w:ind w:leftChars="0"/>
        <w:jc w:val="both"/>
        <w:rPr>
          <w:rFonts w:asciiTheme="minorEastAsia" w:hAnsiTheme="minorEastAsia"/>
        </w:rPr>
      </w:pPr>
      <w:r>
        <w:rPr>
          <w:rFonts w:asciiTheme="minorEastAsia" w:hAnsiTheme="minorEastAsia"/>
        </w:rPr>
        <w:t>結合</w:t>
      </w:r>
      <w:r w:rsidR="00833AB2" w:rsidRPr="002E194B">
        <w:rPr>
          <w:rFonts w:asciiTheme="minorEastAsia" w:hAnsiTheme="minorEastAsia" w:hint="eastAsia"/>
        </w:rPr>
        <w:t>情境、</w:t>
      </w:r>
      <w:r>
        <w:rPr>
          <w:rFonts w:asciiTheme="minorEastAsia" w:hAnsiTheme="minorEastAsia" w:hint="eastAsia"/>
        </w:rPr>
        <w:t>案例、現象進行</w:t>
      </w:r>
      <w:r w:rsidR="00833AB2" w:rsidRPr="002E194B">
        <w:rPr>
          <w:rFonts w:asciiTheme="minorEastAsia" w:hAnsiTheme="minorEastAsia" w:hint="eastAsia"/>
        </w:rPr>
        <w:t>學習，更朝向</w:t>
      </w:r>
      <w:r w:rsidRPr="002E194B">
        <w:rPr>
          <w:rFonts w:asciiTheme="minorEastAsia" w:hAnsiTheme="minorEastAsia" w:hint="eastAsia"/>
        </w:rPr>
        <w:t>理解</w:t>
      </w:r>
      <w:r>
        <w:rPr>
          <w:rFonts w:asciiTheme="minorEastAsia" w:hAnsiTheme="minorEastAsia" w:hint="eastAsia"/>
        </w:rPr>
        <w:t>的學習、</w:t>
      </w:r>
      <w:r w:rsidR="00833AB2" w:rsidRPr="002E194B">
        <w:rPr>
          <w:rFonts w:asciiTheme="minorEastAsia" w:hAnsiTheme="minorEastAsia" w:hint="eastAsia"/>
        </w:rPr>
        <w:t>意義感知</w:t>
      </w:r>
      <w:r w:rsidRPr="002E194B">
        <w:rPr>
          <w:rFonts w:asciiTheme="minorEastAsia" w:hAnsiTheme="minorEastAsia" w:hint="eastAsia"/>
        </w:rPr>
        <w:t>的學習</w:t>
      </w:r>
      <w:r w:rsidR="00833AB2" w:rsidRPr="002E194B">
        <w:rPr>
          <w:rFonts w:asciiTheme="minorEastAsia" w:hAnsiTheme="minorEastAsia" w:hint="eastAsia"/>
        </w:rPr>
        <w:t>。</w:t>
      </w:r>
    </w:p>
    <w:p w:rsidR="00833AB2" w:rsidRPr="00E42BCE" w:rsidRDefault="00833AB2" w:rsidP="001E4BBB">
      <w:pPr>
        <w:pStyle w:val="ad"/>
        <w:numPr>
          <w:ilvl w:val="0"/>
          <w:numId w:val="5"/>
        </w:numPr>
        <w:autoSpaceDE w:val="0"/>
        <w:autoSpaceDN w:val="0"/>
        <w:adjustRightInd w:val="0"/>
        <w:ind w:leftChars="0"/>
        <w:jc w:val="both"/>
        <w:rPr>
          <w:rFonts w:asciiTheme="minorEastAsia" w:hAnsiTheme="minorEastAsia"/>
        </w:rPr>
      </w:pPr>
      <w:r w:rsidRPr="00E42BCE">
        <w:rPr>
          <w:rFonts w:asciiTheme="minorEastAsia" w:hAnsiTheme="minorEastAsia" w:hint="eastAsia"/>
        </w:rPr>
        <w:t>強調學習歷程、策略及方法。課程規劃及教學設計須把學習內容與探究歷程結合在一起，不只是給魚吃，更要教釣魚的方法，陶養學生成為終身學習者。</w:t>
      </w:r>
    </w:p>
    <w:p w:rsidR="0003663C" w:rsidRPr="00392C24" w:rsidRDefault="00833AB2" w:rsidP="0003663C">
      <w:pPr>
        <w:pStyle w:val="ad"/>
        <w:numPr>
          <w:ilvl w:val="0"/>
          <w:numId w:val="5"/>
        </w:numPr>
        <w:autoSpaceDE w:val="0"/>
        <w:autoSpaceDN w:val="0"/>
        <w:adjustRightInd w:val="0"/>
        <w:ind w:leftChars="0"/>
        <w:jc w:val="both"/>
        <w:rPr>
          <w:rFonts w:asciiTheme="minorEastAsia" w:hAnsiTheme="minorEastAsia"/>
        </w:rPr>
      </w:pPr>
      <w:r w:rsidRPr="00C15031">
        <w:rPr>
          <w:rFonts w:asciiTheme="minorEastAsia" w:hAnsiTheme="minorEastAsia" w:hint="eastAsia"/>
        </w:rPr>
        <w:t>強調實踐力行的空間，讓學生可以整合所學</w:t>
      </w:r>
      <w:r w:rsidR="00C15031">
        <w:rPr>
          <w:rFonts w:asciiTheme="minorEastAsia" w:hAnsiTheme="minorEastAsia" w:hint="eastAsia"/>
        </w:rPr>
        <w:t>加以</w:t>
      </w:r>
      <w:r w:rsidR="00C15031" w:rsidRPr="00C15031">
        <w:rPr>
          <w:rFonts w:asciiTheme="minorEastAsia" w:hAnsiTheme="minorEastAsia" w:hint="eastAsia"/>
        </w:rPr>
        <w:t>表現</w:t>
      </w:r>
      <w:r w:rsidR="003F2FB5" w:rsidRPr="00C15031">
        <w:rPr>
          <w:rFonts w:asciiTheme="minorEastAsia" w:hAnsiTheme="minorEastAsia" w:hint="eastAsia"/>
        </w:rPr>
        <w:t>，是「做中學</w:t>
      </w:r>
      <w:r w:rsidR="0003663C">
        <w:rPr>
          <w:rFonts w:asciiTheme="minorEastAsia" w:hAnsiTheme="minorEastAsia" w:hint="eastAsia"/>
        </w:rPr>
        <w:t>、</w:t>
      </w:r>
      <w:r w:rsidR="003F2FB5" w:rsidRPr="00C15031">
        <w:rPr>
          <w:rFonts w:asciiTheme="minorEastAsia" w:hAnsiTheme="minorEastAsia" w:hint="eastAsia"/>
        </w:rPr>
        <w:t>學中做」的靈活運用、整全表現與反思辯證。</w:t>
      </w:r>
    </w:p>
    <w:p w:rsidR="001E76EE" w:rsidRDefault="001E76EE" w:rsidP="00C15031">
      <w:pPr>
        <w:pStyle w:val="ad"/>
        <w:autoSpaceDE w:val="0"/>
        <w:autoSpaceDN w:val="0"/>
        <w:adjustRightInd w:val="0"/>
        <w:ind w:leftChars="0" w:left="0" w:firstLineChars="236" w:firstLine="566"/>
        <w:jc w:val="both"/>
        <w:rPr>
          <w:rFonts w:asciiTheme="minorEastAsia" w:hAnsiTheme="minorEastAsia"/>
        </w:rPr>
      </w:pPr>
    </w:p>
    <w:p w:rsidR="00833AB2" w:rsidRPr="002E194B" w:rsidRDefault="00C15031" w:rsidP="00C15031">
      <w:pPr>
        <w:pStyle w:val="ad"/>
        <w:autoSpaceDE w:val="0"/>
        <w:autoSpaceDN w:val="0"/>
        <w:adjustRightInd w:val="0"/>
        <w:ind w:leftChars="0" w:left="0" w:firstLineChars="236" w:firstLine="566"/>
        <w:jc w:val="both"/>
        <w:rPr>
          <w:rFonts w:asciiTheme="minorEastAsia" w:hAnsiTheme="minorEastAsia"/>
        </w:rPr>
      </w:pPr>
      <w:r>
        <w:rPr>
          <w:rFonts w:asciiTheme="minorEastAsia" w:hAnsiTheme="minorEastAsia"/>
        </w:rPr>
        <w:t>上述</w:t>
      </w:r>
      <w:r w:rsidR="00833AB2">
        <w:rPr>
          <w:rFonts w:asciiTheme="minorEastAsia" w:hAnsiTheme="minorEastAsia"/>
        </w:rPr>
        <w:t>素養</w:t>
      </w:r>
      <w:r w:rsidR="006C5B21">
        <w:rPr>
          <w:rFonts w:asciiTheme="minorEastAsia" w:hAnsiTheme="minorEastAsia"/>
        </w:rPr>
        <w:t>導向教學</w:t>
      </w:r>
      <w:r>
        <w:rPr>
          <w:rFonts w:asciiTheme="minorEastAsia" w:hAnsiTheme="minorEastAsia"/>
        </w:rPr>
        <w:t>的</w:t>
      </w:r>
      <w:r w:rsidR="006C5B21">
        <w:rPr>
          <w:rFonts w:asciiTheme="minorEastAsia" w:hAnsiTheme="minorEastAsia"/>
        </w:rPr>
        <w:t>轉化原則</w:t>
      </w:r>
      <w:r w:rsidR="00833AB2" w:rsidRPr="002E194B">
        <w:rPr>
          <w:rFonts w:asciiTheme="minorEastAsia" w:hAnsiTheme="minorEastAsia" w:hint="eastAsia"/>
        </w:rPr>
        <w:t>，</w:t>
      </w:r>
      <w:r w:rsidR="001E76EE">
        <w:rPr>
          <w:rFonts w:asciiTheme="minorEastAsia" w:hAnsiTheme="minorEastAsia" w:hint="eastAsia"/>
        </w:rPr>
        <w:t>表示</w:t>
      </w:r>
      <w:r w:rsidR="001E76EE" w:rsidRPr="002E194B">
        <w:rPr>
          <w:rFonts w:asciiTheme="minorEastAsia" w:hAnsiTheme="minorEastAsia" w:hint="eastAsia"/>
        </w:rPr>
        <w:t>如</w:t>
      </w:r>
      <w:r w:rsidR="00833AB2" w:rsidRPr="002E194B">
        <w:rPr>
          <w:rFonts w:asciiTheme="minorEastAsia" w:hAnsiTheme="minorEastAsia" w:hint="eastAsia"/>
        </w:rPr>
        <w:t>圖</w:t>
      </w:r>
      <w:r w:rsidR="001E76EE">
        <w:rPr>
          <w:rFonts w:asciiTheme="minorEastAsia" w:hAnsiTheme="minorEastAsia" w:hint="eastAsia"/>
        </w:rPr>
        <w:t>1</w:t>
      </w:r>
      <w:r w:rsidR="001E76EE">
        <w:rPr>
          <w:rFonts w:asciiTheme="minorEastAsia" w:hAnsiTheme="minorEastAsia"/>
        </w:rPr>
        <w:t>-3</w:t>
      </w:r>
      <w:r w:rsidR="001E76EE" w:rsidRPr="0080577E">
        <w:rPr>
          <w:rFonts w:asciiTheme="minorEastAsia" w:hAnsiTheme="minorEastAsia"/>
        </w:rPr>
        <w:t>：</w:t>
      </w:r>
    </w:p>
    <w:p w:rsidR="00833AB2" w:rsidRDefault="006C5B21" w:rsidP="001E76EE">
      <w:pPr>
        <w:autoSpaceDE w:val="0"/>
        <w:autoSpaceDN w:val="0"/>
        <w:adjustRightInd w:val="0"/>
        <w:jc w:val="center"/>
        <w:rPr>
          <w:rFonts w:ascii="NewInnMing-Light" w:eastAsia="NewInnMing-Light" w:cs="NewInnMing-Light"/>
          <w:kern w:val="0"/>
        </w:rPr>
      </w:pPr>
      <w:r w:rsidRPr="006C5B21">
        <w:rPr>
          <w:rFonts w:ascii="NewInnMing-Light" w:eastAsia="NewInnMing-Light" w:cs="NewInnMing-Light"/>
          <w:noProof/>
          <w:kern w:val="0"/>
        </w:rPr>
        <w:lastRenderedPageBreak/>
        <w:drawing>
          <wp:inline distT="0" distB="0" distL="0" distR="0" wp14:anchorId="39A41C53" wp14:editId="59B396B9">
            <wp:extent cx="5274310" cy="2966720"/>
            <wp:effectExtent l="0" t="0" r="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66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3AB2" w:rsidRDefault="00833AB2" w:rsidP="00833AB2">
      <w:pPr>
        <w:ind w:firstLineChars="198" w:firstLine="396"/>
        <w:jc w:val="center"/>
        <w:rPr>
          <w:rFonts w:asciiTheme="minorEastAsia" w:hAnsiTheme="minorEastAsia"/>
        </w:rPr>
      </w:pPr>
      <w:r w:rsidRPr="002A04FA">
        <w:rPr>
          <w:sz w:val="20"/>
          <w:szCs w:val="20"/>
        </w:rPr>
        <w:t>圖</w:t>
      </w:r>
      <w:r w:rsidR="001E76EE">
        <w:rPr>
          <w:rFonts w:hint="eastAsia"/>
          <w:sz w:val="20"/>
          <w:szCs w:val="20"/>
        </w:rPr>
        <w:t>1-</w:t>
      </w:r>
      <w:r w:rsidR="0059406D">
        <w:rPr>
          <w:sz w:val="20"/>
          <w:szCs w:val="20"/>
        </w:rPr>
        <w:t>3</w:t>
      </w:r>
      <w:r w:rsidRPr="002A04FA">
        <w:rPr>
          <w:rFonts w:ascii="標楷體" w:eastAsia="標楷體" w:cs="標楷體" w:hint="eastAsia"/>
          <w:kern w:val="0"/>
          <w:sz w:val="20"/>
          <w:szCs w:val="20"/>
        </w:rPr>
        <w:t>素養</w:t>
      </w:r>
      <w:r>
        <w:rPr>
          <w:rFonts w:ascii="標楷體" w:eastAsia="標楷體" w:cs="標楷體" w:hint="eastAsia"/>
          <w:kern w:val="0"/>
          <w:sz w:val="20"/>
          <w:szCs w:val="20"/>
        </w:rPr>
        <w:t>導向教學</w:t>
      </w:r>
      <w:r w:rsidR="0080577E">
        <w:rPr>
          <w:rFonts w:ascii="標楷體" w:eastAsia="標楷體" w:cs="標楷體" w:hint="eastAsia"/>
          <w:kern w:val="0"/>
          <w:sz w:val="20"/>
          <w:szCs w:val="20"/>
        </w:rPr>
        <w:t>的轉化原則</w:t>
      </w:r>
    </w:p>
    <w:p w:rsidR="00FD4A0B" w:rsidRDefault="00FD4A0B" w:rsidP="00FD4A0B">
      <w:pPr>
        <w:rPr>
          <w:rFonts w:eastAsia="標楷體"/>
          <w:szCs w:val="24"/>
        </w:rPr>
      </w:pPr>
    </w:p>
    <w:tbl>
      <w:tblPr>
        <w:tblStyle w:val="af0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06"/>
      </w:tblGrid>
      <w:tr w:rsidR="00FD4A0B" w:rsidTr="00FD4A0B">
        <w:tc>
          <w:tcPr>
            <w:tcW w:w="8296" w:type="dxa"/>
          </w:tcPr>
          <w:p w:rsidR="00FD4A0B" w:rsidRDefault="00FD4A0B" w:rsidP="00FD4A0B">
            <w:pPr>
              <w:rPr>
                <w:rFonts w:eastAsia="標楷體"/>
                <w:szCs w:val="24"/>
              </w:rPr>
            </w:pPr>
            <w:r w:rsidRPr="00FD4A0B">
              <w:rPr>
                <w:rFonts w:ascii="標楷體" w:eastAsia="標楷體" w:hAnsi="標楷體"/>
                <w:szCs w:val="24"/>
              </w:rPr>
              <w:t>【案例】</w:t>
            </w:r>
            <w:r w:rsidRPr="00683FB4">
              <w:rPr>
                <w:rFonts w:eastAsia="標楷體"/>
                <w:szCs w:val="24"/>
              </w:rPr>
              <w:t>素養導向教學設計檢核參考表</w:t>
            </w:r>
          </w:p>
          <w:p w:rsidR="00FD4A0B" w:rsidRDefault="00FD4A0B" w:rsidP="00FD4A0B">
            <w:pPr>
              <w:rPr>
                <w:rFonts w:eastAsia="標楷體"/>
                <w:sz w:val="20"/>
                <w:szCs w:val="20"/>
              </w:rPr>
            </w:pPr>
            <w:r w:rsidRPr="00683FB4">
              <w:rPr>
                <w:rFonts w:eastAsia="標楷體"/>
                <w:sz w:val="20"/>
                <w:szCs w:val="20"/>
              </w:rPr>
              <w:t>（</w:t>
            </w:r>
            <w:r>
              <w:rPr>
                <w:rFonts w:eastAsia="標楷體"/>
                <w:sz w:val="20"/>
                <w:szCs w:val="20"/>
              </w:rPr>
              <w:t>資料來源：</w:t>
            </w:r>
            <w:r w:rsidRPr="00683FB4">
              <w:rPr>
                <w:rFonts w:eastAsia="標楷體"/>
                <w:sz w:val="20"/>
                <w:szCs w:val="20"/>
              </w:rPr>
              <w:t>國教院「公民與社會」教學及教材模組研發小組，</w:t>
            </w:r>
            <w:r w:rsidRPr="00683FB4">
              <w:rPr>
                <w:rFonts w:eastAsia="標楷體"/>
                <w:sz w:val="20"/>
                <w:szCs w:val="20"/>
              </w:rPr>
              <w:t>105.07</w:t>
            </w:r>
            <w:r w:rsidRPr="00683FB4">
              <w:rPr>
                <w:rFonts w:eastAsia="標楷體"/>
                <w:sz w:val="20"/>
                <w:szCs w:val="20"/>
              </w:rPr>
              <w:t>）</w:t>
            </w:r>
          </w:p>
          <w:p w:rsidR="00FD4A0B" w:rsidRPr="00FD4A0B" w:rsidRDefault="00FD4A0B" w:rsidP="00FD4A0B">
            <w:pPr>
              <w:pStyle w:val="ad"/>
              <w:ind w:leftChars="0" w:left="0" w:firstLineChars="213" w:firstLine="511"/>
              <w:rPr>
                <w:rFonts w:ascii="Calibri" w:hAnsi="Calibri"/>
                <w:bCs/>
                <w:kern w:val="0"/>
                <w:szCs w:val="24"/>
              </w:rPr>
            </w:pPr>
            <w:r w:rsidRPr="00FD4A0B">
              <w:rPr>
                <w:rFonts w:eastAsia="標楷體"/>
                <w:szCs w:val="24"/>
              </w:rPr>
              <w:t>本表主要用以協助檢視單元或主題教學</w:t>
            </w:r>
            <w:r>
              <w:rPr>
                <w:rFonts w:eastAsia="標楷體"/>
                <w:szCs w:val="24"/>
              </w:rPr>
              <w:t>，</w:t>
            </w:r>
            <w:r w:rsidRPr="00FD4A0B">
              <w:rPr>
                <w:rFonts w:eastAsia="標楷體"/>
                <w:szCs w:val="24"/>
              </w:rPr>
              <w:t>每一單元或主題教學不見得可以完全涵蓋本表所列指標，但可累積用以檢視該領域</w:t>
            </w:r>
            <w:r w:rsidRPr="00FD4A0B">
              <w:rPr>
                <w:rFonts w:eastAsia="標楷體"/>
                <w:szCs w:val="24"/>
              </w:rPr>
              <w:t>/</w:t>
            </w:r>
            <w:r w:rsidRPr="00FD4A0B">
              <w:rPr>
                <w:rFonts w:eastAsia="標楷體"/>
                <w:szCs w:val="24"/>
              </w:rPr>
              <w:t>科目全學期或全學年的教學情形。</w:t>
            </w:r>
          </w:p>
          <w:tbl>
            <w:tblPr>
              <w:tblStyle w:val="af0"/>
              <w:tblW w:w="8106" w:type="dxa"/>
              <w:tblLook w:val="04A0" w:firstRow="1" w:lastRow="0" w:firstColumn="1" w:lastColumn="0" w:noHBand="0" w:noVBand="1"/>
            </w:tblPr>
            <w:tblGrid>
              <w:gridCol w:w="592"/>
              <w:gridCol w:w="5095"/>
              <w:gridCol w:w="459"/>
              <w:gridCol w:w="434"/>
              <w:gridCol w:w="1526"/>
            </w:tblGrid>
            <w:tr w:rsidR="00FD4A0B" w:rsidRPr="00683FB4" w:rsidTr="00572E2D">
              <w:tc>
                <w:tcPr>
                  <w:tcW w:w="365" w:type="pct"/>
                  <w:vAlign w:val="center"/>
                </w:tcPr>
                <w:p w:rsidR="00FD4A0B" w:rsidRPr="00683FB4" w:rsidRDefault="00FD4A0B" w:rsidP="00FD4A0B">
                  <w:pPr>
                    <w:spacing w:line="240" w:lineRule="exact"/>
                    <w:jc w:val="center"/>
                    <w:rPr>
                      <w:rFonts w:ascii="標楷體" w:eastAsia="標楷體" w:hAnsi="標楷體"/>
                      <w:b/>
                      <w:sz w:val="20"/>
                      <w:szCs w:val="20"/>
                    </w:rPr>
                  </w:pPr>
                  <w:r w:rsidRPr="00683FB4">
                    <w:rPr>
                      <w:rFonts w:ascii="標楷體" w:eastAsia="標楷體" w:hAnsi="標楷體" w:cs="璅扑擃?" w:hint="eastAsia"/>
                      <w:b/>
                      <w:sz w:val="20"/>
                      <w:szCs w:val="20"/>
                    </w:rPr>
                    <w:t>層面</w:t>
                  </w:r>
                </w:p>
              </w:tc>
              <w:tc>
                <w:tcPr>
                  <w:tcW w:w="3143" w:type="pct"/>
                  <w:vAlign w:val="center"/>
                </w:tcPr>
                <w:p w:rsidR="00FD4A0B" w:rsidRPr="00683FB4" w:rsidRDefault="00FD4A0B" w:rsidP="00FD4A0B">
                  <w:pPr>
                    <w:spacing w:line="240" w:lineRule="exact"/>
                    <w:jc w:val="center"/>
                    <w:rPr>
                      <w:rFonts w:ascii="標楷體" w:eastAsia="標楷體" w:hAnsi="標楷體"/>
                      <w:b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cs="璅扑擃?" w:hint="eastAsia"/>
                      <w:b/>
                      <w:sz w:val="20"/>
                      <w:szCs w:val="20"/>
                    </w:rPr>
                    <w:t>檢核</w:t>
                  </w:r>
                  <w:r w:rsidRPr="00683FB4">
                    <w:rPr>
                      <w:rFonts w:ascii="標楷體" w:eastAsia="標楷體" w:hAnsi="標楷體" w:cs="璅扑擃?" w:hint="eastAsia"/>
                      <w:b/>
                      <w:sz w:val="20"/>
                      <w:szCs w:val="20"/>
                    </w:rPr>
                    <w:t>指標</w:t>
                  </w:r>
                </w:p>
              </w:tc>
              <w:tc>
                <w:tcPr>
                  <w:tcW w:w="283" w:type="pct"/>
                  <w:vAlign w:val="center"/>
                </w:tcPr>
                <w:p w:rsidR="00FD4A0B" w:rsidRPr="00683FB4" w:rsidRDefault="00FD4A0B" w:rsidP="00FD4A0B">
                  <w:pPr>
                    <w:spacing w:line="240" w:lineRule="exact"/>
                    <w:jc w:val="center"/>
                    <w:rPr>
                      <w:rFonts w:ascii="標楷體" w:eastAsia="標楷體" w:hAnsi="標楷體"/>
                      <w:b/>
                      <w:sz w:val="20"/>
                      <w:szCs w:val="20"/>
                    </w:rPr>
                  </w:pPr>
                  <w:r w:rsidRPr="00683FB4">
                    <w:rPr>
                      <w:rFonts w:ascii="標楷體" w:eastAsia="標楷體" w:hAnsi="標楷體" w:cs="璅扑擃?" w:hint="eastAsia"/>
                      <w:b/>
                      <w:sz w:val="20"/>
                      <w:szCs w:val="20"/>
                    </w:rPr>
                    <w:t>自我檢核</w:t>
                  </w:r>
                </w:p>
              </w:tc>
              <w:tc>
                <w:tcPr>
                  <w:tcW w:w="268" w:type="pct"/>
                  <w:vAlign w:val="center"/>
                </w:tcPr>
                <w:p w:rsidR="00FD4A0B" w:rsidRPr="00683FB4" w:rsidRDefault="00FD4A0B" w:rsidP="00FD4A0B">
                  <w:pPr>
                    <w:spacing w:line="240" w:lineRule="exact"/>
                    <w:jc w:val="center"/>
                    <w:rPr>
                      <w:rFonts w:ascii="標楷體" w:eastAsia="標楷體" w:hAnsi="標楷體"/>
                      <w:b/>
                      <w:sz w:val="20"/>
                      <w:szCs w:val="20"/>
                    </w:rPr>
                  </w:pPr>
                  <w:r w:rsidRPr="00683FB4">
                    <w:rPr>
                      <w:rFonts w:ascii="標楷體" w:eastAsia="標楷體" w:hAnsi="標楷體" w:hint="eastAsia"/>
                      <w:b/>
                      <w:sz w:val="20"/>
                      <w:szCs w:val="20"/>
                    </w:rPr>
                    <w:t>他人檢核</w:t>
                  </w:r>
                </w:p>
              </w:tc>
              <w:tc>
                <w:tcPr>
                  <w:tcW w:w="941" w:type="pct"/>
                  <w:vAlign w:val="center"/>
                </w:tcPr>
                <w:p w:rsidR="00FD4A0B" w:rsidRPr="00683FB4" w:rsidRDefault="00FD4A0B" w:rsidP="00FD4A0B">
                  <w:pPr>
                    <w:spacing w:line="240" w:lineRule="exact"/>
                    <w:jc w:val="center"/>
                    <w:rPr>
                      <w:rFonts w:ascii="標楷體" w:eastAsia="標楷體" w:hAnsi="標楷體" w:cs="璅扑擃?"/>
                      <w:b/>
                      <w:sz w:val="20"/>
                      <w:szCs w:val="20"/>
                    </w:rPr>
                  </w:pPr>
                  <w:r w:rsidRPr="00683FB4">
                    <w:rPr>
                      <w:rFonts w:ascii="標楷體" w:eastAsia="標楷體" w:hAnsi="標楷體" w:cs="璅扑擃?" w:hint="eastAsia"/>
                      <w:b/>
                      <w:sz w:val="20"/>
                      <w:szCs w:val="20"/>
                    </w:rPr>
                    <w:t>檢核意見</w:t>
                  </w:r>
                </w:p>
                <w:p w:rsidR="00FD4A0B" w:rsidRPr="00683FB4" w:rsidRDefault="00FD4A0B" w:rsidP="00FD4A0B">
                  <w:pPr>
                    <w:spacing w:line="240" w:lineRule="exact"/>
                    <w:jc w:val="center"/>
                    <w:rPr>
                      <w:rFonts w:ascii="標楷體" w:eastAsia="標楷體" w:hAnsi="標楷體"/>
                      <w:b/>
                      <w:sz w:val="20"/>
                      <w:szCs w:val="20"/>
                    </w:rPr>
                  </w:pPr>
                  <w:r w:rsidRPr="00683FB4">
                    <w:rPr>
                      <w:rFonts w:ascii="標楷體" w:eastAsia="標楷體" w:hAnsi="標楷體" w:cs="璅扑擃?" w:hint="eastAsia"/>
                      <w:b/>
                      <w:sz w:val="20"/>
                      <w:szCs w:val="20"/>
                    </w:rPr>
                    <w:t>(文字敘述)</w:t>
                  </w:r>
                </w:p>
              </w:tc>
            </w:tr>
            <w:tr w:rsidR="00FD4A0B" w:rsidRPr="00683FB4" w:rsidTr="00572E2D">
              <w:tc>
                <w:tcPr>
                  <w:tcW w:w="365" w:type="pct"/>
                  <w:vAlign w:val="center"/>
                </w:tcPr>
                <w:p w:rsidR="00FD4A0B" w:rsidRPr="00683FB4" w:rsidRDefault="00FD4A0B" w:rsidP="00FD4A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標楷體" w:eastAsia="標楷體" w:hAnsi="標楷體" w:cs="璅扑擃?"/>
                      <w:b/>
                      <w:sz w:val="20"/>
                      <w:szCs w:val="20"/>
                    </w:rPr>
                  </w:pPr>
                  <w:r w:rsidRPr="00683FB4">
                    <w:rPr>
                      <w:rFonts w:ascii="標楷體" w:eastAsia="標楷體" w:hAnsi="標楷體" w:cs="璅扑擃?" w:hint="eastAsia"/>
                      <w:b/>
                      <w:sz w:val="20"/>
                      <w:szCs w:val="20"/>
                    </w:rPr>
                    <w:t>課程</w:t>
                  </w:r>
                </w:p>
                <w:p w:rsidR="00FD4A0B" w:rsidRPr="00683FB4" w:rsidRDefault="00FD4A0B" w:rsidP="00FD4A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標楷體" w:eastAsia="標楷體" w:hAnsi="標楷體" w:cs="璅扑擃?"/>
                      <w:b/>
                      <w:sz w:val="20"/>
                      <w:szCs w:val="20"/>
                    </w:rPr>
                  </w:pPr>
                  <w:r w:rsidRPr="00683FB4">
                    <w:rPr>
                      <w:rFonts w:ascii="標楷體" w:eastAsia="標楷體" w:hAnsi="標楷體" w:cs="璅扑擃?" w:hint="eastAsia"/>
                      <w:b/>
                      <w:sz w:val="20"/>
                      <w:szCs w:val="20"/>
                    </w:rPr>
                    <w:t>理念</w:t>
                  </w:r>
                </w:p>
                <w:p w:rsidR="00FD4A0B" w:rsidRPr="00683FB4" w:rsidRDefault="00FD4A0B" w:rsidP="00FD4A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標楷體" w:eastAsia="標楷體" w:hAnsi="標楷體" w:cs="璅扑擃?"/>
                      <w:b/>
                      <w:sz w:val="20"/>
                      <w:szCs w:val="20"/>
                    </w:rPr>
                  </w:pPr>
                  <w:r w:rsidRPr="00683FB4">
                    <w:rPr>
                      <w:rFonts w:ascii="標楷體" w:eastAsia="標楷體" w:hAnsi="標楷體" w:cs="璅扑擃?" w:hint="eastAsia"/>
                      <w:b/>
                      <w:sz w:val="20"/>
                      <w:szCs w:val="20"/>
                    </w:rPr>
                    <w:t>的</w:t>
                  </w:r>
                </w:p>
                <w:p w:rsidR="00FD4A0B" w:rsidRPr="00683FB4" w:rsidRDefault="00FD4A0B" w:rsidP="00FD4A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標楷體" w:eastAsia="標楷體" w:hAnsi="標楷體"/>
                      <w:b/>
                      <w:sz w:val="20"/>
                      <w:szCs w:val="20"/>
                    </w:rPr>
                  </w:pPr>
                  <w:r w:rsidRPr="00683FB4">
                    <w:rPr>
                      <w:rFonts w:ascii="標楷體" w:eastAsia="標楷體" w:hAnsi="標楷體" w:cs="璅扑擃?" w:hint="eastAsia"/>
                      <w:b/>
                      <w:sz w:val="20"/>
                      <w:szCs w:val="20"/>
                    </w:rPr>
                    <w:t>落實</w:t>
                  </w:r>
                </w:p>
              </w:tc>
              <w:tc>
                <w:tcPr>
                  <w:tcW w:w="3143" w:type="pct"/>
                </w:tcPr>
                <w:p w:rsidR="00FD4A0B" w:rsidRPr="00683FB4" w:rsidRDefault="00FD4A0B" w:rsidP="00FD4A0B">
                  <w:pPr>
                    <w:pStyle w:val="ad"/>
                    <w:numPr>
                      <w:ilvl w:val="0"/>
                      <w:numId w:val="9"/>
                    </w:numPr>
                    <w:autoSpaceDE w:val="0"/>
                    <w:autoSpaceDN w:val="0"/>
                    <w:spacing w:beforeLines="50" w:before="180"/>
                    <w:ind w:leftChars="0" w:left="357" w:hanging="357"/>
                    <w:rPr>
                      <w:rFonts w:ascii="標楷體" w:eastAsia="標楷體" w:hAnsi="標楷體" w:cs="璅扑擃?"/>
                      <w:sz w:val="20"/>
                      <w:szCs w:val="20"/>
                    </w:rPr>
                  </w:pPr>
                  <w:r w:rsidRPr="00683FB4">
                    <w:rPr>
                      <w:rFonts w:ascii="標楷體" w:eastAsia="標楷體" w:hAnsi="標楷體" w:cs="璅扑擃?" w:hint="eastAsia"/>
                      <w:b/>
                      <w:sz w:val="20"/>
                      <w:szCs w:val="20"/>
                    </w:rPr>
                    <w:t>自發</w:t>
                  </w:r>
                  <w:r w:rsidRPr="00683FB4">
                    <w:rPr>
                      <w:rFonts w:ascii="標楷體" w:eastAsia="標楷體" w:hAnsi="標楷體" w:cs="璅扑擃?" w:hint="eastAsia"/>
                      <w:sz w:val="20"/>
                      <w:szCs w:val="20"/>
                    </w:rPr>
                    <w:t>：以學習者為學習的主體，選擇適當的學習方式，促進自我理解，引發學習興趣與動機。</w:t>
                  </w:r>
                </w:p>
                <w:p w:rsidR="00FD4A0B" w:rsidRPr="00683FB4" w:rsidRDefault="00FD4A0B" w:rsidP="00FD4A0B">
                  <w:pPr>
                    <w:pStyle w:val="ad"/>
                    <w:numPr>
                      <w:ilvl w:val="0"/>
                      <w:numId w:val="9"/>
                    </w:numPr>
                    <w:autoSpaceDE w:val="0"/>
                    <w:autoSpaceDN w:val="0"/>
                    <w:ind w:leftChars="0"/>
                    <w:rPr>
                      <w:rFonts w:ascii="標楷體" w:eastAsia="標楷體" w:hAnsi="標楷體" w:cs="璅扑擃?"/>
                      <w:sz w:val="20"/>
                      <w:szCs w:val="20"/>
                    </w:rPr>
                  </w:pPr>
                  <w:r w:rsidRPr="00683FB4">
                    <w:rPr>
                      <w:rFonts w:ascii="標楷體" w:eastAsia="標楷體" w:hAnsi="標楷體" w:cs="璅扑擃?" w:hint="eastAsia"/>
                      <w:b/>
                      <w:sz w:val="20"/>
                      <w:szCs w:val="20"/>
                    </w:rPr>
                    <w:t>互動</w:t>
                  </w:r>
                  <w:r w:rsidRPr="00683FB4">
                    <w:rPr>
                      <w:rFonts w:ascii="標楷體" w:eastAsia="標楷體" w:hAnsi="標楷體" w:cs="璅扑擃?" w:hint="eastAsia"/>
                      <w:sz w:val="20"/>
                      <w:szCs w:val="20"/>
                    </w:rPr>
                    <w:t>：學習者能廣泛運用各種方式，有效與他人及環境正向互動。</w:t>
                  </w:r>
                </w:p>
                <w:p w:rsidR="00FD4A0B" w:rsidRPr="00683FB4" w:rsidRDefault="00FD4A0B" w:rsidP="00FD4A0B">
                  <w:pPr>
                    <w:pStyle w:val="ad"/>
                    <w:numPr>
                      <w:ilvl w:val="0"/>
                      <w:numId w:val="9"/>
                    </w:numPr>
                    <w:autoSpaceDE w:val="0"/>
                    <w:autoSpaceDN w:val="0"/>
                    <w:ind w:leftChars="0"/>
                    <w:rPr>
                      <w:rFonts w:ascii="標楷體" w:eastAsia="標楷體" w:hAnsi="標楷體" w:cs="璅扑擃?"/>
                      <w:sz w:val="20"/>
                      <w:szCs w:val="20"/>
                    </w:rPr>
                  </w:pPr>
                  <w:r w:rsidRPr="00683FB4">
                    <w:rPr>
                      <w:rFonts w:ascii="標楷體" w:eastAsia="標楷體" w:hAnsi="標楷體" w:cs="璅扑擃?" w:hint="eastAsia"/>
                      <w:b/>
                      <w:sz w:val="20"/>
                      <w:szCs w:val="20"/>
                    </w:rPr>
                    <w:t>共好</w:t>
                  </w:r>
                  <w:r w:rsidRPr="00683FB4">
                    <w:rPr>
                      <w:rFonts w:ascii="標楷體" w:eastAsia="標楷體" w:hAnsi="標楷體" w:cs="璅扑擃?" w:hint="eastAsia"/>
                      <w:sz w:val="20"/>
                      <w:szCs w:val="20"/>
                    </w:rPr>
                    <w:t>：和他人建立適切的合作模式與人際關係，參與</w:t>
                  </w:r>
                  <w:r>
                    <w:rPr>
                      <w:rFonts w:ascii="標楷體" w:eastAsia="標楷體" w:hAnsi="標楷體" w:cs="璅扑擃?" w:hint="eastAsia"/>
                      <w:sz w:val="20"/>
                      <w:szCs w:val="20"/>
                    </w:rPr>
                    <w:t>公眾</w:t>
                  </w:r>
                  <w:r w:rsidRPr="00683FB4">
                    <w:rPr>
                      <w:rFonts w:ascii="標楷體" w:eastAsia="標楷體" w:hAnsi="標楷體" w:cs="璅扑擃?" w:hint="eastAsia"/>
                      <w:sz w:val="20"/>
                      <w:szCs w:val="20"/>
                    </w:rPr>
                    <w:t>行動</w:t>
                  </w:r>
                  <w:r>
                    <w:rPr>
                      <w:rFonts w:ascii="標楷體" w:eastAsia="標楷體" w:hAnsi="標楷體" w:cs="璅扑擃?" w:hint="eastAsia"/>
                      <w:sz w:val="20"/>
                      <w:szCs w:val="20"/>
                    </w:rPr>
                    <w:t>，</w:t>
                  </w:r>
                  <w:r w:rsidRPr="00683FB4">
                    <w:rPr>
                      <w:rFonts w:ascii="標楷體" w:eastAsia="標楷體" w:hAnsi="標楷體" w:cs="璅扑擃?" w:hint="eastAsia"/>
                      <w:sz w:val="20"/>
                      <w:szCs w:val="20"/>
                    </w:rPr>
                    <w:t>應用所學產生共好的效果。</w:t>
                  </w:r>
                </w:p>
                <w:p w:rsidR="00FD4A0B" w:rsidRPr="00683FB4" w:rsidRDefault="00FD4A0B" w:rsidP="00FD4A0B">
                  <w:pPr>
                    <w:pStyle w:val="ad"/>
                    <w:numPr>
                      <w:ilvl w:val="0"/>
                      <w:numId w:val="9"/>
                    </w:numPr>
                    <w:autoSpaceDE w:val="0"/>
                    <w:autoSpaceDN w:val="0"/>
                    <w:spacing w:afterLines="50" w:after="180"/>
                    <w:ind w:leftChars="0" w:left="357" w:hanging="357"/>
                    <w:rPr>
                      <w:rFonts w:ascii="標楷體" w:eastAsia="標楷體" w:hAnsi="標楷體" w:cs="璅扑擃?"/>
                      <w:sz w:val="20"/>
                      <w:szCs w:val="20"/>
                    </w:rPr>
                  </w:pPr>
                  <w:r w:rsidRPr="00683FB4">
                    <w:rPr>
                      <w:rFonts w:ascii="標楷體" w:eastAsia="標楷體" w:hAnsi="標楷體" w:cs="璅扑擃?" w:hint="eastAsia"/>
                      <w:b/>
                      <w:sz w:val="20"/>
                      <w:szCs w:val="20"/>
                    </w:rPr>
                    <w:t>跨領域／科目</w:t>
                  </w:r>
                  <w:r w:rsidRPr="009D4B1D">
                    <w:rPr>
                      <w:rFonts w:ascii="標楷體" w:eastAsia="標楷體" w:hAnsi="標楷體" w:cs="璅扑擃?" w:hint="eastAsia"/>
                      <w:b/>
                      <w:sz w:val="20"/>
                      <w:szCs w:val="20"/>
                    </w:rPr>
                    <w:t>及議題融入</w:t>
                  </w:r>
                  <w:r w:rsidRPr="009D4B1D">
                    <w:rPr>
                      <w:rFonts w:ascii="標楷體" w:eastAsia="標楷體" w:hAnsi="標楷體" w:cs="璅扑擃?" w:hint="eastAsia"/>
                      <w:sz w:val="20"/>
                      <w:szCs w:val="20"/>
                    </w:rPr>
                    <w:t>：考量與其他領域、科目的整合或議題融入教學。</w:t>
                  </w:r>
                </w:p>
              </w:tc>
              <w:tc>
                <w:tcPr>
                  <w:tcW w:w="283" w:type="pct"/>
                </w:tcPr>
                <w:p w:rsidR="00FD4A0B" w:rsidRDefault="00FD4A0B" w:rsidP="00FD4A0B">
                  <w:pPr>
                    <w:autoSpaceDE w:val="0"/>
                    <w:autoSpaceDN w:val="0"/>
                    <w:adjustRightInd w:val="0"/>
                    <w:spacing w:beforeLines="50" w:before="180"/>
                    <w:rPr>
                      <w:rFonts w:ascii="Wingdings" w:hAnsi="Wingdings" w:cs="Wingdings"/>
                      <w:sz w:val="20"/>
                      <w:szCs w:val="20"/>
                    </w:rPr>
                  </w:pPr>
                  <w:r w:rsidRPr="00683FB4">
                    <w:rPr>
                      <w:rFonts w:ascii="Wingdings" w:hAnsi="Wingdings" w:cs="Wingdings"/>
                      <w:sz w:val="20"/>
                      <w:szCs w:val="20"/>
                    </w:rPr>
                    <w:t></w:t>
                  </w:r>
                </w:p>
                <w:p w:rsidR="00FD4A0B" w:rsidRPr="00683FB4" w:rsidRDefault="00FD4A0B" w:rsidP="00FD4A0B">
                  <w:pPr>
                    <w:autoSpaceDE w:val="0"/>
                    <w:autoSpaceDN w:val="0"/>
                    <w:adjustRightInd w:val="0"/>
                    <w:rPr>
                      <w:rFonts w:ascii="Wingdings" w:hAnsi="Wingdings" w:cs="Wingdings"/>
                      <w:sz w:val="20"/>
                      <w:szCs w:val="20"/>
                    </w:rPr>
                  </w:pPr>
                </w:p>
                <w:p w:rsidR="00FD4A0B" w:rsidRPr="00683FB4" w:rsidRDefault="00FD4A0B" w:rsidP="00FD4A0B">
                  <w:pPr>
                    <w:autoSpaceDE w:val="0"/>
                    <w:autoSpaceDN w:val="0"/>
                    <w:adjustRightInd w:val="0"/>
                    <w:rPr>
                      <w:rFonts w:ascii="Wingdings" w:hAnsi="Wingdings" w:cs="Wingdings"/>
                      <w:sz w:val="20"/>
                      <w:szCs w:val="20"/>
                    </w:rPr>
                  </w:pPr>
                  <w:r w:rsidRPr="00683FB4">
                    <w:rPr>
                      <w:rFonts w:ascii="Wingdings" w:hAnsi="Wingdings" w:cs="Wingdings"/>
                      <w:sz w:val="20"/>
                      <w:szCs w:val="20"/>
                    </w:rPr>
                    <w:t></w:t>
                  </w:r>
                </w:p>
                <w:p w:rsidR="00FD4A0B" w:rsidRPr="00683FB4" w:rsidRDefault="00FD4A0B" w:rsidP="00FD4A0B">
                  <w:pPr>
                    <w:autoSpaceDE w:val="0"/>
                    <w:autoSpaceDN w:val="0"/>
                    <w:adjustRightInd w:val="0"/>
                    <w:rPr>
                      <w:rFonts w:ascii="Wingdings" w:hAnsi="Wingdings" w:cs="Wingdings"/>
                      <w:sz w:val="20"/>
                      <w:szCs w:val="20"/>
                    </w:rPr>
                  </w:pPr>
                </w:p>
                <w:p w:rsidR="00FD4A0B" w:rsidRPr="00683FB4" w:rsidRDefault="00FD4A0B" w:rsidP="00FD4A0B">
                  <w:pPr>
                    <w:autoSpaceDE w:val="0"/>
                    <w:autoSpaceDN w:val="0"/>
                    <w:adjustRightInd w:val="0"/>
                    <w:rPr>
                      <w:rFonts w:ascii="Wingdings" w:hAnsi="Wingdings" w:cs="Wingdings"/>
                      <w:sz w:val="20"/>
                      <w:szCs w:val="20"/>
                    </w:rPr>
                  </w:pPr>
                  <w:r w:rsidRPr="00683FB4">
                    <w:rPr>
                      <w:rFonts w:ascii="Wingdings" w:hAnsi="Wingdings" w:cs="Wingdings"/>
                      <w:sz w:val="20"/>
                      <w:szCs w:val="20"/>
                    </w:rPr>
                    <w:t></w:t>
                  </w:r>
                </w:p>
                <w:p w:rsidR="00FD4A0B" w:rsidRPr="00683FB4" w:rsidRDefault="00FD4A0B" w:rsidP="00FD4A0B">
                  <w:pPr>
                    <w:autoSpaceDE w:val="0"/>
                    <w:autoSpaceDN w:val="0"/>
                    <w:adjustRightInd w:val="0"/>
                    <w:rPr>
                      <w:rFonts w:ascii="Wingdings" w:hAnsi="Wingdings" w:cs="Wingdings"/>
                      <w:sz w:val="20"/>
                      <w:szCs w:val="20"/>
                    </w:rPr>
                  </w:pPr>
                </w:p>
                <w:p w:rsidR="00FD4A0B" w:rsidRPr="00683FB4" w:rsidRDefault="00FD4A0B" w:rsidP="00FD4A0B">
                  <w:pPr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  <w:r w:rsidRPr="00683FB4">
                    <w:rPr>
                      <w:rFonts w:ascii="Wingdings" w:hAnsi="Wingdings" w:cs="Wingdings"/>
                      <w:sz w:val="20"/>
                      <w:szCs w:val="20"/>
                    </w:rPr>
                    <w:t></w:t>
                  </w:r>
                </w:p>
              </w:tc>
              <w:tc>
                <w:tcPr>
                  <w:tcW w:w="268" w:type="pct"/>
                </w:tcPr>
                <w:p w:rsidR="00FD4A0B" w:rsidRDefault="00FD4A0B" w:rsidP="00FD4A0B">
                  <w:pPr>
                    <w:autoSpaceDE w:val="0"/>
                    <w:autoSpaceDN w:val="0"/>
                    <w:adjustRightInd w:val="0"/>
                    <w:spacing w:beforeLines="50" w:before="180"/>
                    <w:rPr>
                      <w:rFonts w:ascii="Wingdings" w:hAnsi="Wingdings" w:cs="Wingdings"/>
                      <w:sz w:val="20"/>
                      <w:szCs w:val="20"/>
                    </w:rPr>
                  </w:pPr>
                  <w:r w:rsidRPr="00683FB4">
                    <w:rPr>
                      <w:rFonts w:ascii="Wingdings" w:hAnsi="Wingdings" w:cs="Wingdings"/>
                      <w:sz w:val="20"/>
                      <w:szCs w:val="20"/>
                    </w:rPr>
                    <w:t></w:t>
                  </w:r>
                </w:p>
                <w:p w:rsidR="00FD4A0B" w:rsidRPr="00683FB4" w:rsidRDefault="00FD4A0B" w:rsidP="00FD4A0B">
                  <w:pPr>
                    <w:autoSpaceDE w:val="0"/>
                    <w:autoSpaceDN w:val="0"/>
                    <w:adjustRightInd w:val="0"/>
                    <w:rPr>
                      <w:rFonts w:ascii="Wingdings" w:hAnsi="Wingdings" w:cs="Wingdings"/>
                      <w:sz w:val="20"/>
                      <w:szCs w:val="20"/>
                    </w:rPr>
                  </w:pPr>
                </w:p>
                <w:p w:rsidR="00FD4A0B" w:rsidRPr="00683FB4" w:rsidRDefault="00FD4A0B" w:rsidP="00FD4A0B">
                  <w:pPr>
                    <w:autoSpaceDE w:val="0"/>
                    <w:autoSpaceDN w:val="0"/>
                    <w:adjustRightInd w:val="0"/>
                    <w:rPr>
                      <w:rFonts w:ascii="Wingdings" w:hAnsi="Wingdings" w:cs="Wingdings"/>
                      <w:sz w:val="20"/>
                      <w:szCs w:val="20"/>
                    </w:rPr>
                  </w:pPr>
                  <w:r w:rsidRPr="00683FB4">
                    <w:rPr>
                      <w:rFonts w:ascii="Wingdings" w:hAnsi="Wingdings" w:cs="Wingdings"/>
                      <w:sz w:val="20"/>
                      <w:szCs w:val="20"/>
                    </w:rPr>
                    <w:t></w:t>
                  </w:r>
                </w:p>
                <w:p w:rsidR="00FD4A0B" w:rsidRPr="00683FB4" w:rsidRDefault="00FD4A0B" w:rsidP="00FD4A0B">
                  <w:pPr>
                    <w:autoSpaceDE w:val="0"/>
                    <w:autoSpaceDN w:val="0"/>
                    <w:adjustRightInd w:val="0"/>
                    <w:rPr>
                      <w:rFonts w:ascii="Wingdings" w:hAnsi="Wingdings" w:cs="Wingdings"/>
                      <w:sz w:val="20"/>
                      <w:szCs w:val="20"/>
                    </w:rPr>
                  </w:pPr>
                </w:p>
                <w:p w:rsidR="00FD4A0B" w:rsidRPr="00683FB4" w:rsidRDefault="00FD4A0B" w:rsidP="00FD4A0B">
                  <w:pPr>
                    <w:autoSpaceDE w:val="0"/>
                    <w:autoSpaceDN w:val="0"/>
                    <w:adjustRightInd w:val="0"/>
                    <w:rPr>
                      <w:rFonts w:ascii="Wingdings" w:hAnsi="Wingdings" w:cs="Wingdings"/>
                      <w:sz w:val="20"/>
                      <w:szCs w:val="20"/>
                    </w:rPr>
                  </w:pPr>
                  <w:r w:rsidRPr="00683FB4">
                    <w:rPr>
                      <w:rFonts w:ascii="Wingdings" w:hAnsi="Wingdings" w:cs="Wingdings"/>
                      <w:sz w:val="20"/>
                      <w:szCs w:val="20"/>
                    </w:rPr>
                    <w:t></w:t>
                  </w:r>
                </w:p>
                <w:p w:rsidR="00FD4A0B" w:rsidRPr="00683FB4" w:rsidRDefault="00FD4A0B" w:rsidP="00FD4A0B">
                  <w:pPr>
                    <w:autoSpaceDE w:val="0"/>
                    <w:autoSpaceDN w:val="0"/>
                    <w:adjustRightInd w:val="0"/>
                    <w:rPr>
                      <w:rFonts w:ascii="Wingdings" w:hAnsi="Wingdings" w:cs="Wingdings"/>
                      <w:sz w:val="20"/>
                      <w:szCs w:val="20"/>
                    </w:rPr>
                  </w:pPr>
                </w:p>
                <w:p w:rsidR="00FD4A0B" w:rsidRPr="00683FB4" w:rsidRDefault="00FD4A0B" w:rsidP="00FD4A0B">
                  <w:pPr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  <w:r w:rsidRPr="00683FB4">
                    <w:rPr>
                      <w:rFonts w:ascii="Wingdings" w:hAnsi="Wingdings" w:cs="Wingdings"/>
                      <w:sz w:val="20"/>
                      <w:szCs w:val="20"/>
                    </w:rPr>
                    <w:t></w:t>
                  </w:r>
                </w:p>
              </w:tc>
              <w:tc>
                <w:tcPr>
                  <w:tcW w:w="941" w:type="pct"/>
                </w:tcPr>
                <w:p w:rsidR="00FD4A0B" w:rsidRPr="00683FB4" w:rsidRDefault="00FD4A0B" w:rsidP="00FD4A0B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FD4A0B" w:rsidRPr="00683FB4" w:rsidTr="00572E2D">
              <w:trPr>
                <w:trHeight w:val="4087"/>
              </w:trPr>
              <w:tc>
                <w:tcPr>
                  <w:tcW w:w="365" w:type="pct"/>
                  <w:vAlign w:val="center"/>
                </w:tcPr>
                <w:p w:rsidR="00FD4A0B" w:rsidRPr="00683FB4" w:rsidRDefault="00FD4A0B" w:rsidP="00FD4A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標楷體" w:eastAsia="標楷體" w:hAnsi="標楷體" w:cs="璅扑擃?"/>
                      <w:b/>
                      <w:sz w:val="20"/>
                      <w:szCs w:val="20"/>
                    </w:rPr>
                  </w:pPr>
                  <w:r w:rsidRPr="00683FB4">
                    <w:rPr>
                      <w:rFonts w:ascii="標楷體" w:eastAsia="標楷體" w:hAnsi="標楷體" w:cs="璅扑擃?" w:hint="eastAsia"/>
                      <w:b/>
                      <w:sz w:val="20"/>
                      <w:szCs w:val="20"/>
                    </w:rPr>
                    <w:lastRenderedPageBreak/>
                    <w:t>素養</w:t>
                  </w:r>
                </w:p>
                <w:p w:rsidR="00FD4A0B" w:rsidRPr="00683FB4" w:rsidRDefault="00FD4A0B" w:rsidP="00FD4A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標楷體" w:eastAsia="標楷體" w:hAnsi="標楷體" w:cs="璅扑擃?"/>
                      <w:b/>
                      <w:sz w:val="20"/>
                      <w:szCs w:val="20"/>
                    </w:rPr>
                  </w:pPr>
                  <w:r w:rsidRPr="00683FB4">
                    <w:rPr>
                      <w:rFonts w:ascii="標楷體" w:eastAsia="標楷體" w:hAnsi="標楷體" w:cs="璅扑擃?" w:hint="eastAsia"/>
                      <w:b/>
                      <w:sz w:val="20"/>
                      <w:szCs w:val="20"/>
                    </w:rPr>
                    <w:t>導向</w:t>
                  </w:r>
                </w:p>
                <w:p w:rsidR="00FD4A0B" w:rsidRPr="00683FB4" w:rsidRDefault="00FD4A0B" w:rsidP="00FD4A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標楷體" w:eastAsia="標楷體" w:hAnsi="標楷體" w:cs="璅扑擃?"/>
                      <w:b/>
                      <w:sz w:val="20"/>
                      <w:szCs w:val="20"/>
                    </w:rPr>
                  </w:pPr>
                  <w:r w:rsidRPr="00683FB4">
                    <w:rPr>
                      <w:rFonts w:ascii="標楷體" w:eastAsia="標楷體" w:hAnsi="標楷體" w:cs="璅扑擃?" w:hint="eastAsia"/>
                      <w:b/>
                      <w:sz w:val="20"/>
                      <w:szCs w:val="20"/>
                    </w:rPr>
                    <w:t>的</w:t>
                  </w:r>
                </w:p>
                <w:p w:rsidR="00FD4A0B" w:rsidRPr="00683FB4" w:rsidRDefault="00FD4A0B" w:rsidP="00FD4A0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標楷體" w:eastAsia="標楷體" w:hAnsi="標楷體" w:cs="璅扑擃?"/>
                      <w:b/>
                      <w:sz w:val="20"/>
                      <w:szCs w:val="20"/>
                    </w:rPr>
                  </w:pPr>
                  <w:r w:rsidRPr="00683FB4">
                    <w:rPr>
                      <w:rFonts w:ascii="標楷體" w:eastAsia="標楷體" w:hAnsi="標楷體" w:cs="璅扑擃?" w:hint="eastAsia"/>
                      <w:b/>
                      <w:sz w:val="20"/>
                      <w:szCs w:val="20"/>
                    </w:rPr>
                    <w:t>設計</w:t>
                  </w:r>
                </w:p>
              </w:tc>
              <w:tc>
                <w:tcPr>
                  <w:tcW w:w="3143" w:type="pct"/>
                </w:tcPr>
                <w:p w:rsidR="00FD4A0B" w:rsidRPr="00683FB4" w:rsidRDefault="00FD4A0B" w:rsidP="00FD4A0B">
                  <w:pPr>
                    <w:pStyle w:val="ad"/>
                    <w:numPr>
                      <w:ilvl w:val="0"/>
                      <w:numId w:val="10"/>
                    </w:numPr>
                    <w:spacing w:beforeLines="50" w:before="180"/>
                    <w:ind w:leftChars="0" w:left="357" w:hanging="357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r w:rsidRPr="00683FB4">
                    <w:rPr>
                      <w:rFonts w:ascii="標楷體" w:eastAsia="標楷體" w:hAnsi="標楷體" w:hint="eastAsia"/>
                      <w:b/>
                      <w:sz w:val="20"/>
                      <w:szCs w:val="20"/>
                    </w:rPr>
                    <w:t>整合知識、技能、態度</w:t>
                  </w:r>
                  <w:r w:rsidRPr="00683FB4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﹕強調學習是完整的，不能只偏重知識層面。</w:t>
                  </w:r>
                </w:p>
                <w:p w:rsidR="00FD4A0B" w:rsidRPr="00683FB4" w:rsidRDefault="00FD4A0B" w:rsidP="00FD4A0B">
                  <w:pPr>
                    <w:pStyle w:val="ad"/>
                    <w:numPr>
                      <w:ilvl w:val="0"/>
                      <w:numId w:val="10"/>
                    </w:numPr>
                    <w:ind w:leftChars="0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r w:rsidRPr="00683FB4">
                    <w:rPr>
                      <w:rFonts w:ascii="標楷體" w:eastAsia="標楷體" w:hAnsi="標楷體" w:hint="eastAsia"/>
                      <w:b/>
                      <w:sz w:val="20"/>
                      <w:szCs w:val="20"/>
                    </w:rPr>
                    <w:t>注重情境化、脈絡化的學習</w:t>
                  </w:r>
                  <w:r w:rsidRPr="00683FB4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﹕能將學習內容和過程與經驗、事件、情境、脈絡進行適切結合。</w:t>
                  </w:r>
                </w:p>
                <w:p w:rsidR="00FD4A0B" w:rsidRPr="00683FB4" w:rsidRDefault="00FD4A0B" w:rsidP="00FD4A0B">
                  <w:pPr>
                    <w:pStyle w:val="ad"/>
                    <w:numPr>
                      <w:ilvl w:val="0"/>
                      <w:numId w:val="10"/>
                    </w:numPr>
                    <w:ind w:leftChars="0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r w:rsidRPr="00683FB4">
                    <w:rPr>
                      <w:rFonts w:ascii="標楷體" w:eastAsia="標楷體" w:hAnsi="標楷體" w:hint="eastAsia"/>
                      <w:b/>
                      <w:sz w:val="20"/>
                      <w:szCs w:val="20"/>
                    </w:rPr>
                    <w:t>兼重學習歷程、策略及方法</w:t>
                  </w:r>
                  <w:r w:rsidRPr="00683FB4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﹕課程規劃及教學設計能結合學習內容與探究歷程，以陶養學生擁有自學能力，成為終身學習者。</w:t>
                  </w:r>
                </w:p>
                <w:p w:rsidR="00FD4A0B" w:rsidRDefault="00FD4A0B" w:rsidP="00FD4A0B">
                  <w:pPr>
                    <w:pStyle w:val="ad"/>
                    <w:numPr>
                      <w:ilvl w:val="0"/>
                      <w:numId w:val="10"/>
                    </w:numPr>
                    <w:spacing w:afterLines="50" w:after="180"/>
                    <w:ind w:leftChars="0" w:left="357" w:hanging="357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r w:rsidRPr="00683FB4">
                    <w:rPr>
                      <w:rFonts w:ascii="標楷體" w:eastAsia="標楷體" w:hAnsi="標楷體" w:hint="eastAsia"/>
                      <w:b/>
                      <w:sz w:val="20"/>
                      <w:szCs w:val="20"/>
                    </w:rPr>
                    <w:t>強調實踐力行的表現</w:t>
                  </w:r>
                  <w:r w:rsidRPr="00683FB4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：讓學生能學以致用，整合所學遷移應用到其他事例，或實際活用於生活中，更可對其所知所行進行</w:t>
                  </w:r>
                  <w:r w:rsidRPr="009D4B1D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後設</w:t>
                  </w:r>
                  <w:r w:rsidRPr="00683FB4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思考，而有再持續精進的可能。</w:t>
                  </w:r>
                </w:p>
              </w:tc>
              <w:tc>
                <w:tcPr>
                  <w:tcW w:w="283" w:type="pct"/>
                </w:tcPr>
                <w:p w:rsidR="00FD4A0B" w:rsidRDefault="00FD4A0B" w:rsidP="00FD4A0B">
                  <w:pPr>
                    <w:autoSpaceDE w:val="0"/>
                    <w:autoSpaceDN w:val="0"/>
                    <w:adjustRightInd w:val="0"/>
                    <w:spacing w:beforeLines="50" w:before="180"/>
                    <w:rPr>
                      <w:rFonts w:ascii="Wingdings" w:hAnsi="Wingdings" w:cs="Wingdings"/>
                      <w:sz w:val="20"/>
                      <w:szCs w:val="20"/>
                    </w:rPr>
                  </w:pPr>
                  <w:r w:rsidRPr="00683FB4">
                    <w:rPr>
                      <w:rFonts w:ascii="Wingdings" w:hAnsi="Wingdings" w:cs="Wingdings"/>
                      <w:sz w:val="20"/>
                      <w:szCs w:val="20"/>
                    </w:rPr>
                    <w:t></w:t>
                  </w:r>
                </w:p>
                <w:p w:rsidR="00FD4A0B" w:rsidRPr="00683FB4" w:rsidRDefault="00FD4A0B" w:rsidP="00FD4A0B">
                  <w:pPr>
                    <w:autoSpaceDE w:val="0"/>
                    <w:autoSpaceDN w:val="0"/>
                    <w:adjustRightInd w:val="0"/>
                    <w:rPr>
                      <w:rFonts w:ascii="Wingdings" w:hAnsi="Wingdings" w:cs="Wingdings"/>
                      <w:sz w:val="20"/>
                      <w:szCs w:val="20"/>
                    </w:rPr>
                  </w:pPr>
                </w:p>
                <w:p w:rsidR="00FD4A0B" w:rsidRPr="00683FB4" w:rsidRDefault="00FD4A0B" w:rsidP="00FD4A0B">
                  <w:pPr>
                    <w:autoSpaceDE w:val="0"/>
                    <w:autoSpaceDN w:val="0"/>
                    <w:adjustRightInd w:val="0"/>
                    <w:rPr>
                      <w:rFonts w:ascii="Wingdings" w:hAnsi="Wingdings" w:cs="Wingdings"/>
                      <w:sz w:val="20"/>
                      <w:szCs w:val="20"/>
                    </w:rPr>
                  </w:pPr>
                  <w:r w:rsidRPr="00683FB4">
                    <w:rPr>
                      <w:rFonts w:ascii="Wingdings" w:hAnsi="Wingdings" w:cs="Wingdings"/>
                      <w:sz w:val="20"/>
                      <w:szCs w:val="20"/>
                    </w:rPr>
                    <w:t></w:t>
                  </w:r>
                </w:p>
                <w:p w:rsidR="00FD4A0B" w:rsidRPr="00683FB4" w:rsidRDefault="00FD4A0B" w:rsidP="00FD4A0B">
                  <w:pPr>
                    <w:autoSpaceDE w:val="0"/>
                    <w:autoSpaceDN w:val="0"/>
                    <w:adjustRightInd w:val="0"/>
                    <w:rPr>
                      <w:rFonts w:ascii="Wingdings" w:hAnsi="Wingdings" w:cs="Wingdings"/>
                      <w:sz w:val="20"/>
                      <w:szCs w:val="20"/>
                    </w:rPr>
                  </w:pPr>
                </w:p>
                <w:p w:rsidR="00FD4A0B" w:rsidRPr="00683FB4" w:rsidRDefault="00FD4A0B" w:rsidP="00FD4A0B">
                  <w:pPr>
                    <w:autoSpaceDE w:val="0"/>
                    <w:autoSpaceDN w:val="0"/>
                    <w:adjustRightInd w:val="0"/>
                    <w:rPr>
                      <w:rFonts w:ascii="Wingdings" w:hAnsi="Wingdings" w:cs="Wingdings"/>
                      <w:sz w:val="20"/>
                      <w:szCs w:val="20"/>
                    </w:rPr>
                  </w:pPr>
                  <w:r w:rsidRPr="00683FB4">
                    <w:rPr>
                      <w:rFonts w:ascii="Wingdings" w:hAnsi="Wingdings" w:cs="Wingdings"/>
                      <w:sz w:val="20"/>
                      <w:szCs w:val="20"/>
                    </w:rPr>
                    <w:t></w:t>
                  </w:r>
                </w:p>
                <w:p w:rsidR="00FD4A0B" w:rsidRPr="00683FB4" w:rsidRDefault="00FD4A0B" w:rsidP="00FD4A0B">
                  <w:pPr>
                    <w:autoSpaceDE w:val="0"/>
                    <w:autoSpaceDN w:val="0"/>
                    <w:adjustRightInd w:val="0"/>
                    <w:rPr>
                      <w:rFonts w:ascii="Wingdings" w:hAnsi="Wingdings" w:cs="Wingdings"/>
                      <w:sz w:val="20"/>
                      <w:szCs w:val="20"/>
                    </w:rPr>
                  </w:pPr>
                </w:p>
                <w:p w:rsidR="00FD4A0B" w:rsidRPr="00683FB4" w:rsidRDefault="00FD4A0B" w:rsidP="00FD4A0B">
                  <w:pPr>
                    <w:autoSpaceDE w:val="0"/>
                    <w:autoSpaceDN w:val="0"/>
                    <w:adjustRightInd w:val="0"/>
                    <w:rPr>
                      <w:rFonts w:ascii="Wingdings" w:hAnsi="Wingdings" w:cs="Wingdings"/>
                      <w:sz w:val="20"/>
                      <w:szCs w:val="20"/>
                    </w:rPr>
                  </w:pPr>
                </w:p>
                <w:p w:rsidR="00FD4A0B" w:rsidRPr="00683FB4" w:rsidRDefault="00FD4A0B" w:rsidP="00FD4A0B">
                  <w:pPr>
                    <w:autoSpaceDE w:val="0"/>
                    <w:autoSpaceDN w:val="0"/>
                    <w:adjustRightInd w:val="0"/>
                    <w:rPr>
                      <w:rFonts w:ascii="Wingdings" w:hAnsi="Wingdings" w:cs="Wingdings"/>
                      <w:sz w:val="20"/>
                      <w:szCs w:val="20"/>
                    </w:rPr>
                  </w:pPr>
                  <w:r w:rsidRPr="00683FB4">
                    <w:rPr>
                      <w:rFonts w:ascii="Wingdings" w:hAnsi="Wingdings" w:cs="Wingdings"/>
                      <w:sz w:val="20"/>
                      <w:szCs w:val="20"/>
                    </w:rPr>
                    <w:t></w:t>
                  </w:r>
                </w:p>
              </w:tc>
              <w:tc>
                <w:tcPr>
                  <w:tcW w:w="268" w:type="pct"/>
                </w:tcPr>
                <w:p w:rsidR="00FD4A0B" w:rsidRPr="00683FB4" w:rsidRDefault="00FD4A0B" w:rsidP="00FD4A0B">
                  <w:pPr>
                    <w:autoSpaceDE w:val="0"/>
                    <w:autoSpaceDN w:val="0"/>
                    <w:adjustRightInd w:val="0"/>
                    <w:spacing w:beforeLines="50" w:before="180"/>
                    <w:rPr>
                      <w:rFonts w:ascii="Wingdings" w:hAnsi="Wingdings" w:cs="Wingdings"/>
                      <w:sz w:val="20"/>
                      <w:szCs w:val="20"/>
                    </w:rPr>
                  </w:pPr>
                  <w:r w:rsidRPr="00683FB4">
                    <w:rPr>
                      <w:rFonts w:ascii="Wingdings" w:hAnsi="Wingdings" w:cs="Wingdings"/>
                      <w:sz w:val="20"/>
                      <w:szCs w:val="20"/>
                    </w:rPr>
                    <w:t></w:t>
                  </w:r>
                </w:p>
                <w:p w:rsidR="00FD4A0B" w:rsidRPr="00683FB4" w:rsidRDefault="00FD4A0B" w:rsidP="00FD4A0B">
                  <w:pPr>
                    <w:autoSpaceDE w:val="0"/>
                    <w:autoSpaceDN w:val="0"/>
                    <w:adjustRightInd w:val="0"/>
                    <w:rPr>
                      <w:rFonts w:ascii="Wingdings" w:hAnsi="Wingdings" w:cs="Wingdings"/>
                      <w:sz w:val="20"/>
                      <w:szCs w:val="20"/>
                    </w:rPr>
                  </w:pPr>
                </w:p>
                <w:p w:rsidR="00FD4A0B" w:rsidRPr="00683FB4" w:rsidRDefault="00FD4A0B" w:rsidP="00FD4A0B">
                  <w:pPr>
                    <w:autoSpaceDE w:val="0"/>
                    <w:autoSpaceDN w:val="0"/>
                    <w:adjustRightInd w:val="0"/>
                    <w:rPr>
                      <w:rFonts w:ascii="Wingdings" w:hAnsi="Wingdings" w:cs="Wingdings"/>
                      <w:sz w:val="20"/>
                      <w:szCs w:val="20"/>
                    </w:rPr>
                  </w:pPr>
                  <w:r w:rsidRPr="00683FB4">
                    <w:rPr>
                      <w:rFonts w:ascii="Wingdings" w:hAnsi="Wingdings" w:cs="Wingdings"/>
                      <w:sz w:val="20"/>
                      <w:szCs w:val="20"/>
                    </w:rPr>
                    <w:t></w:t>
                  </w:r>
                </w:p>
                <w:p w:rsidR="00FD4A0B" w:rsidRPr="00683FB4" w:rsidRDefault="00FD4A0B" w:rsidP="00FD4A0B">
                  <w:pPr>
                    <w:autoSpaceDE w:val="0"/>
                    <w:autoSpaceDN w:val="0"/>
                    <w:adjustRightInd w:val="0"/>
                    <w:rPr>
                      <w:rFonts w:ascii="Wingdings" w:hAnsi="Wingdings" w:cs="Wingdings"/>
                      <w:sz w:val="20"/>
                      <w:szCs w:val="20"/>
                    </w:rPr>
                  </w:pPr>
                </w:p>
                <w:p w:rsidR="00FD4A0B" w:rsidRPr="00683FB4" w:rsidRDefault="00FD4A0B" w:rsidP="00FD4A0B">
                  <w:pPr>
                    <w:autoSpaceDE w:val="0"/>
                    <w:autoSpaceDN w:val="0"/>
                    <w:adjustRightInd w:val="0"/>
                    <w:rPr>
                      <w:rFonts w:ascii="Wingdings" w:hAnsi="Wingdings" w:cs="Wingdings"/>
                      <w:sz w:val="20"/>
                      <w:szCs w:val="20"/>
                    </w:rPr>
                  </w:pPr>
                  <w:r w:rsidRPr="00683FB4">
                    <w:rPr>
                      <w:rFonts w:ascii="Wingdings" w:hAnsi="Wingdings" w:cs="Wingdings"/>
                      <w:sz w:val="20"/>
                      <w:szCs w:val="20"/>
                    </w:rPr>
                    <w:t></w:t>
                  </w:r>
                </w:p>
                <w:p w:rsidR="00FD4A0B" w:rsidRPr="00683FB4" w:rsidRDefault="00FD4A0B" w:rsidP="00FD4A0B">
                  <w:pPr>
                    <w:autoSpaceDE w:val="0"/>
                    <w:autoSpaceDN w:val="0"/>
                    <w:adjustRightInd w:val="0"/>
                    <w:rPr>
                      <w:rFonts w:ascii="Wingdings" w:hAnsi="Wingdings" w:cs="Wingdings"/>
                      <w:sz w:val="20"/>
                      <w:szCs w:val="20"/>
                    </w:rPr>
                  </w:pPr>
                </w:p>
                <w:p w:rsidR="00FD4A0B" w:rsidRPr="00683FB4" w:rsidRDefault="00FD4A0B" w:rsidP="00FD4A0B">
                  <w:pPr>
                    <w:autoSpaceDE w:val="0"/>
                    <w:autoSpaceDN w:val="0"/>
                    <w:adjustRightInd w:val="0"/>
                    <w:rPr>
                      <w:rFonts w:ascii="Wingdings" w:hAnsi="Wingdings" w:cs="Wingdings"/>
                      <w:sz w:val="20"/>
                      <w:szCs w:val="20"/>
                    </w:rPr>
                  </w:pPr>
                </w:p>
                <w:p w:rsidR="00FD4A0B" w:rsidRPr="00683FB4" w:rsidRDefault="00FD4A0B" w:rsidP="00FD4A0B">
                  <w:pPr>
                    <w:autoSpaceDE w:val="0"/>
                    <w:autoSpaceDN w:val="0"/>
                    <w:adjustRightInd w:val="0"/>
                    <w:rPr>
                      <w:rFonts w:ascii="Wingdings" w:hAnsi="Wingdings" w:cs="Wingdings"/>
                      <w:sz w:val="20"/>
                      <w:szCs w:val="20"/>
                    </w:rPr>
                  </w:pPr>
                  <w:r w:rsidRPr="00683FB4">
                    <w:rPr>
                      <w:rFonts w:ascii="Wingdings" w:hAnsi="Wingdings" w:cs="Wingdings"/>
                      <w:sz w:val="20"/>
                      <w:szCs w:val="20"/>
                    </w:rPr>
                    <w:t></w:t>
                  </w:r>
                </w:p>
              </w:tc>
              <w:tc>
                <w:tcPr>
                  <w:tcW w:w="941" w:type="pct"/>
                </w:tcPr>
                <w:p w:rsidR="00FD4A0B" w:rsidRPr="00683FB4" w:rsidRDefault="00FD4A0B" w:rsidP="00FD4A0B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FD4A0B" w:rsidRPr="001E76EE" w:rsidRDefault="00FD4A0B" w:rsidP="00FD4A0B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bCs/>
                <w:kern w:val="0"/>
              </w:rPr>
            </w:pPr>
          </w:p>
          <w:p w:rsidR="00FD4A0B" w:rsidRDefault="00FD4A0B" w:rsidP="00FD4A0B">
            <w:pPr>
              <w:rPr>
                <w:rFonts w:eastAsia="標楷體"/>
                <w:szCs w:val="24"/>
              </w:rPr>
            </w:pPr>
          </w:p>
        </w:tc>
      </w:tr>
    </w:tbl>
    <w:p w:rsidR="00FD4A0B" w:rsidRDefault="00FD4A0B" w:rsidP="00FD4A0B">
      <w:pPr>
        <w:rPr>
          <w:rFonts w:eastAsia="標楷體"/>
          <w:szCs w:val="24"/>
        </w:rPr>
      </w:pPr>
    </w:p>
    <w:p w:rsidR="00054619" w:rsidRDefault="000C4E11" w:rsidP="005313CC">
      <w:pPr>
        <w:spacing w:beforeLines="50" w:before="180"/>
        <w:ind w:left="357" w:right="-198" w:hanging="357"/>
        <w:rPr>
          <w:rFonts w:ascii="標楷體" w:eastAsia="標楷體" w:hAnsi="標楷體"/>
          <w:b/>
          <w:color w:val="000000" w:themeColor="text1"/>
          <w:szCs w:val="24"/>
        </w:rPr>
      </w:pPr>
      <w:r>
        <w:rPr>
          <w:rFonts w:ascii="標楷體" w:eastAsia="標楷體" w:hAnsi="標楷體" w:hint="eastAsia"/>
          <w:b/>
          <w:color w:val="000000" w:themeColor="text1"/>
          <w:szCs w:val="24"/>
        </w:rPr>
        <w:t>1</w:t>
      </w:r>
      <w:r>
        <w:rPr>
          <w:rFonts w:ascii="標楷體" w:eastAsia="標楷體" w:hAnsi="標楷體"/>
          <w:b/>
          <w:color w:val="000000" w:themeColor="text1"/>
          <w:szCs w:val="24"/>
        </w:rPr>
        <w:t>.2.</w:t>
      </w:r>
      <w:r w:rsidR="004406F3">
        <w:rPr>
          <w:rFonts w:ascii="標楷體" w:eastAsia="標楷體" w:hAnsi="標楷體"/>
          <w:b/>
          <w:color w:val="000000" w:themeColor="text1"/>
          <w:szCs w:val="24"/>
        </w:rPr>
        <w:t>3</w:t>
      </w:r>
      <w:r w:rsidR="00054619">
        <w:rPr>
          <w:rFonts w:ascii="標楷體" w:eastAsia="標楷體" w:hAnsi="標楷體"/>
          <w:b/>
          <w:color w:val="000000" w:themeColor="text1"/>
          <w:szCs w:val="24"/>
        </w:rPr>
        <w:t>素養導向的評量</w:t>
      </w:r>
      <w:r w:rsidR="009D4B1D">
        <w:rPr>
          <w:rFonts w:ascii="標楷體" w:eastAsia="標楷體" w:hAnsi="標楷體"/>
          <w:b/>
          <w:color w:val="000000" w:themeColor="text1"/>
          <w:szCs w:val="24"/>
        </w:rPr>
        <w:t>可以</w:t>
      </w:r>
      <w:r w:rsidR="00054619">
        <w:rPr>
          <w:rFonts w:ascii="標楷體" w:eastAsia="標楷體" w:hAnsi="標楷體"/>
          <w:b/>
          <w:color w:val="000000" w:themeColor="text1"/>
          <w:szCs w:val="24"/>
        </w:rPr>
        <w:t>怎麼做？</w:t>
      </w:r>
    </w:p>
    <w:p w:rsidR="00054619" w:rsidRPr="000D6023" w:rsidRDefault="00054619" w:rsidP="00054619">
      <w:pPr>
        <w:pStyle w:val="ad"/>
        <w:numPr>
          <w:ilvl w:val="0"/>
          <w:numId w:val="7"/>
        </w:numPr>
        <w:spacing w:beforeLines="50" w:before="180"/>
        <w:ind w:leftChars="0" w:right="-198"/>
        <w:rPr>
          <w:rFonts w:asciiTheme="minorEastAsia" w:hAnsiTheme="minorEastAsia" w:cs="新細明體"/>
          <w:b/>
          <w:color w:val="000000"/>
        </w:rPr>
      </w:pPr>
      <w:r w:rsidRPr="000D6023">
        <w:rPr>
          <w:rFonts w:asciiTheme="minorEastAsia" w:hAnsiTheme="minorEastAsia" w:cs="新細明體" w:hint="eastAsia"/>
          <w:b/>
          <w:color w:val="000000"/>
        </w:rPr>
        <w:t>素養評量</w:t>
      </w:r>
      <w:r w:rsidR="00297A31">
        <w:rPr>
          <w:rFonts w:asciiTheme="minorEastAsia" w:hAnsiTheme="minorEastAsia" w:cs="新細明體" w:hint="eastAsia"/>
          <w:b/>
          <w:color w:val="000000"/>
        </w:rPr>
        <w:t>的意涵</w:t>
      </w:r>
    </w:p>
    <w:p w:rsidR="00054619" w:rsidRPr="00901654" w:rsidRDefault="00054619" w:rsidP="00054619">
      <w:pPr>
        <w:ind w:firstLineChars="200" w:firstLine="480"/>
        <w:jc w:val="both"/>
        <w:rPr>
          <w:szCs w:val="24"/>
        </w:rPr>
      </w:pPr>
      <w:r w:rsidRPr="00D84480">
        <w:rPr>
          <w:rFonts w:hint="eastAsia"/>
          <w:szCs w:val="24"/>
        </w:rPr>
        <w:t>素養不是單指成就，也不是性向，而是一個人在面對各種複雜多變的情境及實際問題時，能</w:t>
      </w:r>
      <w:r w:rsidRPr="00D84480">
        <w:rPr>
          <w:rFonts w:ascii="標楷體" w:hAnsi="標楷體" w:hint="eastAsia"/>
          <w:szCs w:val="24"/>
        </w:rPr>
        <w:t>夠靈活運用學校所學，抱持主動積極的態度及多元開放的精神，整合</w:t>
      </w:r>
      <w:r>
        <w:rPr>
          <w:rFonts w:ascii="標楷體" w:hAnsi="標楷體" w:hint="eastAsia"/>
          <w:szCs w:val="24"/>
        </w:rPr>
        <w:t>活用</w:t>
      </w:r>
      <w:r w:rsidRPr="00D84480">
        <w:rPr>
          <w:rFonts w:ascii="標楷體" w:hAnsi="標楷體" w:hint="eastAsia"/>
          <w:szCs w:val="24"/>
        </w:rPr>
        <w:t>各種相關資訊，發揮思辨、統整、溝通能力與創意</w:t>
      </w:r>
      <w:r>
        <w:rPr>
          <w:rFonts w:ascii="標楷體" w:hAnsi="標楷體" w:hint="eastAsia"/>
          <w:szCs w:val="24"/>
        </w:rPr>
        <w:t>，以</w:t>
      </w:r>
      <w:r w:rsidRPr="00901654">
        <w:rPr>
          <w:rFonts w:ascii="標楷體" w:hAnsi="標楷體" w:hint="eastAsia"/>
          <w:szCs w:val="24"/>
        </w:rPr>
        <w:t>理解現象或</w:t>
      </w:r>
      <w:r w:rsidRPr="00901654">
        <w:rPr>
          <w:rFonts w:hint="eastAsia"/>
          <w:szCs w:val="24"/>
        </w:rPr>
        <w:t>解決問題。</w:t>
      </w:r>
    </w:p>
    <w:p w:rsidR="00297A31" w:rsidRDefault="00054619" w:rsidP="00054619">
      <w:pPr>
        <w:ind w:firstLineChars="200" w:firstLine="480"/>
        <w:jc w:val="both"/>
        <w:rPr>
          <w:szCs w:val="24"/>
        </w:rPr>
      </w:pPr>
      <w:r w:rsidRPr="00901654">
        <w:rPr>
          <w:rFonts w:hint="eastAsia"/>
          <w:szCs w:val="24"/>
        </w:rPr>
        <w:t>素養導向的評量重視現實情境下的應用表現，著重於評量學生在多樣複雜的情境中如何把所學的知識、能力、態度發揮出來，以評估學生的學習情形，並預測學習發展的潛力。</w:t>
      </w:r>
    </w:p>
    <w:p w:rsidR="00FD4A0B" w:rsidRPr="00297A31" w:rsidRDefault="00FD4A0B" w:rsidP="00054619">
      <w:pPr>
        <w:ind w:firstLineChars="200" w:firstLine="480"/>
        <w:jc w:val="both"/>
        <w:rPr>
          <w:szCs w:val="24"/>
        </w:rPr>
      </w:pPr>
    </w:p>
    <w:tbl>
      <w:tblPr>
        <w:tblStyle w:val="af0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8306"/>
      </w:tblGrid>
      <w:tr w:rsidR="00054619" w:rsidTr="00FD4A0B">
        <w:tc>
          <w:tcPr>
            <w:tcW w:w="8356" w:type="dxa"/>
            <w:shd w:val="clear" w:color="auto" w:fill="FFFFFF" w:themeFill="background1"/>
          </w:tcPr>
          <w:p w:rsidR="00054619" w:rsidRPr="00FD4A0B" w:rsidRDefault="00054619" w:rsidP="004136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FD4A0B">
              <w:rPr>
                <w:rFonts w:ascii="標楷體" w:eastAsia="標楷體" w:hAnsi="標楷體"/>
                <w:szCs w:val="24"/>
              </w:rPr>
              <w:t>【案例】「提升國民素養實施方案」之科學素養評量</w:t>
            </w:r>
          </w:p>
          <w:p w:rsidR="00054619" w:rsidRDefault="00054619" w:rsidP="00413648">
            <w:pPr>
              <w:spacing w:beforeLines="50" w:before="180" w:afterLines="50" w:after="180"/>
              <w:ind w:firstLineChars="200" w:firstLine="480"/>
              <w:jc w:val="both"/>
              <w:rPr>
                <w:szCs w:val="24"/>
              </w:rPr>
            </w:pPr>
            <w:r w:rsidRPr="00FD4A0B">
              <w:rPr>
                <w:rFonts w:ascii="標楷體" w:eastAsia="標楷體" w:hAnsi="標楷體"/>
                <w:szCs w:val="24"/>
              </w:rPr>
              <w:t>104年度「提升國民素養實施方案」</w:t>
            </w:r>
            <w:r w:rsidRPr="00FD4A0B">
              <w:rPr>
                <w:rFonts w:ascii="標楷體" w:eastAsia="標楷體" w:hAnsi="標楷體" w:hint="eastAsia"/>
                <w:szCs w:val="24"/>
              </w:rPr>
              <w:t>研究報告中的科學素養評量，強調「科學素養」不僅評量</w:t>
            </w:r>
            <w:r w:rsidRPr="00FD4A0B">
              <w:rPr>
                <w:rFonts w:ascii="標楷體" w:eastAsia="標楷體" w:hAnsi="標楷體"/>
                <w:szCs w:val="24"/>
              </w:rPr>
              <w:t>學生面對繼續升學及生活的能力，</w:t>
            </w:r>
            <w:r w:rsidRPr="00FD4A0B">
              <w:rPr>
                <w:rFonts w:ascii="標楷體" w:eastAsia="標楷體" w:hAnsi="標楷體" w:hint="eastAsia"/>
                <w:szCs w:val="24"/>
              </w:rPr>
              <w:t>且著重在</w:t>
            </w:r>
            <w:r w:rsidRPr="00FD4A0B">
              <w:rPr>
                <w:rFonts w:ascii="標楷體" w:eastAsia="標楷體" w:hAnsi="標楷體"/>
                <w:szCs w:val="24"/>
              </w:rPr>
              <w:t>學生必須</w:t>
            </w:r>
            <w:r w:rsidRPr="00FD4A0B">
              <w:rPr>
                <w:rFonts w:ascii="標楷體" w:eastAsia="標楷體" w:hAnsi="標楷體" w:hint="eastAsia"/>
                <w:szCs w:val="24"/>
              </w:rPr>
              <w:t>能</w:t>
            </w:r>
            <w:r w:rsidRPr="00FD4A0B">
              <w:rPr>
                <w:rFonts w:ascii="標楷體" w:eastAsia="標楷體" w:hAnsi="標楷體"/>
                <w:szCs w:val="24"/>
              </w:rPr>
              <w:t>把資訊理解統整、靈活運用，自行建構問題情境的答案。科學素養</w:t>
            </w:r>
            <w:r w:rsidRPr="00FD4A0B">
              <w:rPr>
                <w:rFonts w:ascii="標楷體" w:eastAsia="標楷體" w:hAnsi="標楷體" w:hint="eastAsia"/>
                <w:szCs w:val="24"/>
              </w:rPr>
              <w:t>評量</w:t>
            </w:r>
            <w:r w:rsidRPr="00FD4A0B">
              <w:rPr>
                <w:rFonts w:ascii="標楷體" w:eastAsia="標楷體" w:hAnsi="標楷體"/>
                <w:szCs w:val="24"/>
              </w:rPr>
              <w:t>架構在邏輯思考及生活應用</w:t>
            </w:r>
            <w:r w:rsidRPr="00FD4A0B">
              <w:rPr>
                <w:rFonts w:ascii="標楷體" w:eastAsia="標楷體" w:hAnsi="標楷體" w:hint="eastAsia"/>
                <w:szCs w:val="24"/>
              </w:rPr>
              <w:t>上，</w:t>
            </w:r>
            <w:r w:rsidRPr="00FD4A0B">
              <w:rPr>
                <w:rFonts w:ascii="標楷體" w:eastAsia="標楷體" w:hAnsi="標楷體"/>
                <w:szCs w:val="24"/>
              </w:rPr>
              <w:t>希望能培養學生「帶著走的能力」、並將其科學素養運用在生活情境中；期待學生具有問題思考及解決的能力，除了能形成議題</w:t>
            </w:r>
            <w:r w:rsidRPr="00FD4A0B">
              <w:rPr>
                <w:rFonts w:ascii="標楷體" w:eastAsia="標楷體" w:hAnsi="標楷體" w:hint="eastAsia"/>
                <w:szCs w:val="24"/>
              </w:rPr>
              <w:t>，</w:t>
            </w:r>
            <w:r w:rsidRPr="00FD4A0B">
              <w:rPr>
                <w:rFonts w:ascii="標楷體" w:eastAsia="標楷體" w:hAnsi="標楷體"/>
                <w:szCs w:val="24"/>
              </w:rPr>
              <w:t>還能活用手邊的資訊，形塑生活情境的解決</w:t>
            </w:r>
            <w:r w:rsidRPr="00FD4A0B">
              <w:rPr>
                <w:rFonts w:ascii="標楷體" w:eastAsia="標楷體" w:hAnsi="標楷體" w:hint="eastAsia"/>
                <w:szCs w:val="24"/>
              </w:rPr>
              <w:t>答</w:t>
            </w:r>
            <w:r w:rsidRPr="00FD4A0B">
              <w:rPr>
                <w:rFonts w:ascii="標楷體" w:eastAsia="標楷體" w:hAnsi="標楷體"/>
                <w:szCs w:val="24"/>
              </w:rPr>
              <w:t>案。</w:t>
            </w:r>
          </w:p>
        </w:tc>
      </w:tr>
    </w:tbl>
    <w:p w:rsidR="00FD4A0B" w:rsidRDefault="00FD4A0B" w:rsidP="00FD4A0B">
      <w:pPr>
        <w:pStyle w:val="ad"/>
        <w:spacing w:beforeLines="50" w:before="180"/>
        <w:ind w:leftChars="0" w:left="482" w:right="-198"/>
        <w:rPr>
          <w:rFonts w:asciiTheme="minorEastAsia" w:hAnsiTheme="minorEastAsia" w:cs="新細明體"/>
          <w:b/>
          <w:color w:val="000000"/>
        </w:rPr>
      </w:pPr>
    </w:p>
    <w:p w:rsidR="00297A31" w:rsidRDefault="00297A31" w:rsidP="00574986">
      <w:pPr>
        <w:pStyle w:val="ad"/>
        <w:numPr>
          <w:ilvl w:val="0"/>
          <w:numId w:val="7"/>
        </w:numPr>
        <w:spacing w:beforeLines="50" w:before="180"/>
        <w:ind w:leftChars="0" w:left="482" w:right="-198" w:hanging="482"/>
        <w:rPr>
          <w:rFonts w:asciiTheme="minorEastAsia" w:hAnsiTheme="minorEastAsia" w:cs="新細明體"/>
          <w:b/>
          <w:color w:val="000000"/>
        </w:rPr>
      </w:pPr>
      <w:r w:rsidRPr="000D6023">
        <w:rPr>
          <w:rFonts w:asciiTheme="minorEastAsia" w:hAnsiTheme="minorEastAsia" w:cs="新細明體" w:hint="eastAsia"/>
          <w:b/>
          <w:color w:val="000000"/>
        </w:rPr>
        <w:t>素養評量</w:t>
      </w:r>
      <w:r>
        <w:rPr>
          <w:rFonts w:asciiTheme="minorEastAsia" w:hAnsiTheme="minorEastAsia" w:cs="新細明體" w:hint="eastAsia"/>
          <w:b/>
          <w:color w:val="000000"/>
        </w:rPr>
        <w:t>的</w:t>
      </w:r>
      <w:r w:rsidRPr="00901654">
        <w:rPr>
          <w:rFonts w:asciiTheme="minorEastAsia" w:hAnsiTheme="minorEastAsia" w:cs="新細明體" w:hint="eastAsia"/>
          <w:b/>
          <w:color w:val="000000"/>
        </w:rPr>
        <w:t>注重面向</w:t>
      </w:r>
    </w:p>
    <w:p w:rsidR="00297A31" w:rsidRDefault="00297A31" w:rsidP="00574986">
      <w:pPr>
        <w:ind w:firstLineChars="200" w:firstLine="480"/>
        <w:jc w:val="both"/>
        <w:rPr>
          <w:rFonts w:asciiTheme="minorEastAsia" w:hAnsiTheme="minorEastAsia"/>
        </w:rPr>
      </w:pPr>
      <w:r w:rsidRPr="00C565BD">
        <w:rPr>
          <w:rFonts w:asciiTheme="minorEastAsia" w:hAnsiTheme="minorEastAsia" w:hint="eastAsia"/>
        </w:rPr>
        <w:t>素養評量應依據或參照總綱、各領域</w:t>
      </w:r>
      <w:r w:rsidRPr="00C565BD">
        <w:rPr>
          <w:rFonts w:asciiTheme="minorEastAsia" w:hAnsiTheme="minorEastAsia"/>
        </w:rPr>
        <w:t>/</w:t>
      </w:r>
      <w:r w:rsidRPr="00C565BD">
        <w:rPr>
          <w:rFonts w:asciiTheme="minorEastAsia" w:hAnsiTheme="minorEastAsia" w:hint="eastAsia"/>
        </w:rPr>
        <w:t>科目課</w:t>
      </w:r>
      <w:r w:rsidR="00C565BD">
        <w:rPr>
          <w:rFonts w:asciiTheme="minorEastAsia" w:hAnsiTheme="minorEastAsia" w:hint="eastAsia"/>
        </w:rPr>
        <w:t>程</w:t>
      </w:r>
      <w:r w:rsidRPr="00C565BD">
        <w:rPr>
          <w:rFonts w:asciiTheme="minorEastAsia" w:hAnsiTheme="minorEastAsia" w:hint="eastAsia"/>
        </w:rPr>
        <w:t>綱</w:t>
      </w:r>
      <w:r w:rsidR="00C565BD">
        <w:rPr>
          <w:rFonts w:asciiTheme="minorEastAsia" w:hAnsiTheme="minorEastAsia" w:hint="eastAsia"/>
        </w:rPr>
        <w:t>要</w:t>
      </w:r>
      <w:r w:rsidRPr="00C565BD">
        <w:rPr>
          <w:rFonts w:asciiTheme="minorEastAsia" w:hAnsiTheme="minorEastAsia" w:hint="eastAsia"/>
        </w:rPr>
        <w:t>，並考量學生生活背景、</w:t>
      </w:r>
      <w:r w:rsidRPr="00C565BD">
        <w:rPr>
          <w:rFonts w:asciiTheme="minorEastAsia" w:hAnsiTheme="minorEastAsia" w:hint="eastAsia"/>
        </w:rPr>
        <w:lastRenderedPageBreak/>
        <w:t>經驗現象或任務、問題，兼重思考與行動、理解與應用，以引導並促進學生更具主體性的學習。</w:t>
      </w:r>
    </w:p>
    <w:p w:rsidR="00297A31" w:rsidRDefault="00297A31" w:rsidP="00297A31">
      <w:pPr>
        <w:pStyle w:val="ad"/>
        <w:numPr>
          <w:ilvl w:val="0"/>
          <w:numId w:val="5"/>
        </w:numPr>
        <w:autoSpaceDE w:val="0"/>
        <w:autoSpaceDN w:val="0"/>
        <w:adjustRightInd w:val="0"/>
        <w:ind w:leftChars="0"/>
        <w:jc w:val="both"/>
        <w:rPr>
          <w:rFonts w:asciiTheme="minorEastAsia" w:hAnsiTheme="minorEastAsia"/>
        </w:rPr>
      </w:pPr>
      <w:r w:rsidRPr="00901654">
        <w:rPr>
          <w:rFonts w:asciiTheme="minorEastAsia" w:hAnsiTheme="minorEastAsia" w:hint="eastAsia"/>
        </w:rPr>
        <w:t>總綱中訂有核心素養及各教育階段核心素養具體內涵，可做為學校發展本位課程</w:t>
      </w:r>
      <w:r w:rsidRPr="00297A31">
        <w:rPr>
          <w:rFonts w:asciiTheme="minorEastAsia" w:hAnsiTheme="minorEastAsia" w:hint="eastAsia"/>
        </w:rPr>
        <w:t>及評量</w:t>
      </w:r>
      <w:r w:rsidRPr="00901654">
        <w:rPr>
          <w:rFonts w:asciiTheme="minorEastAsia" w:hAnsiTheme="minorEastAsia" w:hint="eastAsia"/>
        </w:rPr>
        <w:t>的參考。</w:t>
      </w:r>
    </w:p>
    <w:p w:rsidR="00297A31" w:rsidRDefault="00297A31" w:rsidP="00297A31">
      <w:pPr>
        <w:pStyle w:val="ad"/>
        <w:numPr>
          <w:ilvl w:val="0"/>
          <w:numId w:val="5"/>
        </w:numPr>
        <w:autoSpaceDE w:val="0"/>
        <w:autoSpaceDN w:val="0"/>
        <w:adjustRightInd w:val="0"/>
        <w:ind w:leftChars="0"/>
        <w:jc w:val="both"/>
        <w:rPr>
          <w:rFonts w:asciiTheme="minorEastAsia" w:hAnsiTheme="minorEastAsia"/>
        </w:rPr>
      </w:pPr>
      <w:r w:rsidRPr="005E193D">
        <w:rPr>
          <w:rFonts w:asciiTheme="minorEastAsia" w:hAnsiTheme="minorEastAsia" w:hint="eastAsia"/>
        </w:rPr>
        <w:t>各領綱除領域核心素養之外，亦訂有「學習重點」、「實施要點」等，可做為各領域/科目的課程教學、教材編寫、學習評量的參照。</w:t>
      </w:r>
    </w:p>
    <w:p w:rsidR="00297A31" w:rsidRDefault="00297A31" w:rsidP="00297A31">
      <w:pPr>
        <w:pStyle w:val="ad"/>
        <w:numPr>
          <w:ilvl w:val="0"/>
          <w:numId w:val="5"/>
        </w:numPr>
        <w:autoSpaceDE w:val="0"/>
        <w:autoSpaceDN w:val="0"/>
        <w:adjustRightInd w:val="0"/>
        <w:ind w:leftChars="0"/>
        <w:jc w:val="both"/>
        <w:rPr>
          <w:rFonts w:asciiTheme="minorEastAsia" w:hAnsiTheme="minorEastAsia"/>
        </w:rPr>
      </w:pPr>
      <w:r w:rsidRPr="00901654">
        <w:rPr>
          <w:rFonts w:asciiTheme="minorEastAsia" w:hAnsiTheme="minorEastAsia" w:hint="eastAsia"/>
        </w:rPr>
        <w:t>核心素養在彰顯學習者的主體性，</w:t>
      </w:r>
      <w:r w:rsidRPr="00297A31">
        <w:rPr>
          <w:rFonts w:asciiTheme="minorEastAsia" w:hAnsiTheme="minorEastAsia" w:hint="eastAsia"/>
        </w:rPr>
        <w:t>評量</w:t>
      </w:r>
      <w:r>
        <w:rPr>
          <w:rFonts w:asciiTheme="minorEastAsia" w:hAnsiTheme="minorEastAsia" w:hint="eastAsia"/>
        </w:rPr>
        <w:t>須</w:t>
      </w:r>
      <w:r w:rsidRPr="00901654">
        <w:rPr>
          <w:rFonts w:asciiTheme="minorEastAsia" w:hAnsiTheme="minorEastAsia" w:hint="eastAsia"/>
        </w:rPr>
        <w:t>關照知識、技能與態度的整全學習及全人發展。</w:t>
      </w:r>
    </w:p>
    <w:p w:rsidR="00297A31" w:rsidRPr="00297A31" w:rsidRDefault="00297A31" w:rsidP="00E50F4F">
      <w:pPr>
        <w:pStyle w:val="ad"/>
        <w:numPr>
          <w:ilvl w:val="0"/>
          <w:numId w:val="5"/>
        </w:numPr>
        <w:autoSpaceDE w:val="0"/>
        <w:autoSpaceDN w:val="0"/>
        <w:adjustRightInd w:val="0"/>
        <w:ind w:leftChars="0"/>
        <w:jc w:val="both"/>
        <w:rPr>
          <w:rFonts w:asciiTheme="minorEastAsia" w:hAnsiTheme="minorEastAsia"/>
        </w:rPr>
      </w:pPr>
      <w:r w:rsidRPr="00297A31">
        <w:rPr>
          <w:rFonts w:asciiTheme="minorEastAsia" w:hAnsiTheme="minorEastAsia" w:hint="eastAsia"/>
        </w:rPr>
        <w:t>素養評量應引導學生能對週遭環境保持好奇心，並能進行主動地探索、體驗、試驗、尋求答案與合作學習；積極正向的參與家庭、學校、社會生活，並能主動地與週遭人、事、物及環境的互動中觀察現象，尋求關係，解決問題，並關注在如何將所學內容轉化為實踐性的知識，並落實於生活中，以開放的心胸來適應及參與社會生活。</w:t>
      </w:r>
      <w:r w:rsidRPr="00901654">
        <w:rPr>
          <w:rStyle w:val="ac"/>
          <w:rFonts w:asciiTheme="minorEastAsia" w:hAnsiTheme="minorEastAsia"/>
        </w:rPr>
        <w:footnoteReference w:id="5"/>
      </w:r>
    </w:p>
    <w:p w:rsidR="00297A31" w:rsidRPr="00901654" w:rsidRDefault="00297A31" w:rsidP="00297A31">
      <w:pPr>
        <w:pStyle w:val="ad"/>
        <w:numPr>
          <w:ilvl w:val="0"/>
          <w:numId w:val="7"/>
        </w:numPr>
        <w:spacing w:beforeLines="50" w:before="180"/>
        <w:ind w:leftChars="0" w:right="-198"/>
        <w:rPr>
          <w:rFonts w:asciiTheme="minorEastAsia" w:hAnsiTheme="minorEastAsia" w:cs="新細明體"/>
          <w:b/>
          <w:color w:val="000000"/>
        </w:rPr>
      </w:pPr>
      <w:r w:rsidRPr="00901654">
        <w:rPr>
          <w:rFonts w:asciiTheme="minorEastAsia" w:hAnsiTheme="minorEastAsia" w:cs="新細明體" w:hint="eastAsia"/>
          <w:b/>
          <w:color w:val="000000"/>
        </w:rPr>
        <w:t>素養評量的可行做法</w:t>
      </w:r>
    </w:p>
    <w:p w:rsidR="00297A31" w:rsidRDefault="00297A31" w:rsidP="00297A31">
      <w:pPr>
        <w:ind w:firstLineChars="200" w:firstLine="480"/>
        <w:rPr>
          <w:szCs w:val="24"/>
        </w:rPr>
      </w:pPr>
      <w:r w:rsidRPr="00901654">
        <w:rPr>
          <w:rFonts w:asciiTheme="minorEastAsia" w:hAnsiTheme="minorEastAsia" w:hint="eastAsia"/>
        </w:rPr>
        <w:t>素養評量注重歷程、多元及真實，是以專題、體驗、探究、實作、表現、活用為核心。學生透過整合所學，不只能把所學遷移到其他例子進行應用，或是實際活用在生活裡，更可對其所知、所行進行覺察思考，而有再持續精進的可能。</w:t>
      </w:r>
    </w:p>
    <w:p w:rsidR="00297A31" w:rsidRPr="00901654" w:rsidRDefault="00297A31" w:rsidP="00C565BD">
      <w:pPr>
        <w:pStyle w:val="ad"/>
        <w:numPr>
          <w:ilvl w:val="0"/>
          <w:numId w:val="5"/>
        </w:numPr>
        <w:autoSpaceDE w:val="0"/>
        <w:autoSpaceDN w:val="0"/>
        <w:adjustRightInd w:val="0"/>
        <w:ind w:leftChars="0"/>
        <w:jc w:val="both"/>
        <w:rPr>
          <w:rFonts w:asciiTheme="minorEastAsia" w:hAnsiTheme="minorEastAsia"/>
        </w:rPr>
      </w:pPr>
      <w:r w:rsidRPr="00901654">
        <w:rPr>
          <w:rFonts w:asciiTheme="minorEastAsia" w:hAnsiTheme="minorEastAsia" w:cs="新細明體" w:hint="eastAsia"/>
          <w:b/>
          <w:color w:val="000000"/>
        </w:rPr>
        <w:t>評量</w:t>
      </w:r>
      <w:r>
        <w:rPr>
          <w:rFonts w:asciiTheme="minorEastAsia" w:hAnsiTheme="minorEastAsia" w:cs="新細明體" w:hint="eastAsia"/>
          <w:b/>
          <w:color w:val="000000"/>
        </w:rPr>
        <w:t>策略</w:t>
      </w:r>
    </w:p>
    <w:p w:rsidR="00297A31" w:rsidRPr="00901654" w:rsidRDefault="00297A31" w:rsidP="00C565BD">
      <w:pPr>
        <w:pStyle w:val="ad"/>
        <w:autoSpaceDE w:val="0"/>
        <w:autoSpaceDN w:val="0"/>
        <w:adjustRightInd w:val="0"/>
        <w:ind w:leftChars="0" w:left="360" w:firstLineChars="200" w:firstLine="480"/>
        <w:jc w:val="both"/>
        <w:rPr>
          <w:rFonts w:asciiTheme="minorEastAsia" w:hAnsiTheme="minorEastAsia"/>
        </w:rPr>
      </w:pPr>
      <w:r w:rsidRPr="00901654">
        <w:rPr>
          <w:rFonts w:asciiTheme="minorEastAsia" w:hAnsiTheme="minorEastAsia" w:hint="eastAsia"/>
        </w:rPr>
        <w:t>可彈性運用</w:t>
      </w:r>
      <w:r>
        <w:rPr>
          <w:rFonts w:asciiTheme="minorEastAsia" w:hAnsiTheme="minorEastAsia" w:hint="eastAsia"/>
        </w:rPr>
        <w:t>實作任務、開放性問答、隨堂和正式</w:t>
      </w:r>
      <w:r w:rsidRPr="00901654">
        <w:rPr>
          <w:rFonts w:asciiTheme="minorEastAsia" w:hAnsiTheme="minorEastAsia" w:hint="eastAsia"/>
        </w:rPr>
        <w:t>測驗、觀察、</w:t>
      </w:r>
      <w:r>
        <w:rPr>
          <w:rFonts w:asciiTheme="minorEastAsia" w:hAnsiTheme="minorEastAsia" w:hint="eastAsia"/>
        </w:rPr>
        <w:t>檢視作品、放聲思考</w:t>
      </w:r>
      <w:r w:rsidRPr="00901654">
        <w:rPr>
          <w:rFonts w:asciiTheme="minorEastAsia" w:hAnsiTheme="minorEastAsia" w:hint="eastAsia"/>
        </w:rPr>
        <w:t>、面談</w:t>
      </w:r>
      <w:r>
        <w:rPr>
          <w:rFonts w:asciiTheme="minorEastAsia" w:hAnsiTheme="minorEastAsia" w:hint="eastAsia"/>
        </w:rPr>
        <w:t>、專題報告</w:t>
      </w:r>
      <w:r w:rsidRPr="00901654">
        <w:rPr>
          <w:rFonts w:asciiTheme="minorEastAsia" w:hAnsiTheme="minorEastAsia" w:hint="eastAsia"/>
        </w:rPr>
        <w:t>等多元</w:t>
      </w:r>
      <w:r>
        <w:rPr>
          <w:rFonts w:asciiTheme="minorEastAsia" w:hAnsiTheme="minorEastAsia" w:hint="eastAsia"/>
        </w:rPr>
        <w:t>策略</w:t>
      </w:r>
      <w:r>
        <w:rPr>
          <w:rStyle w:val="ac"/>
          <w:rFonts w:asciiTheme="minorEastAsia" w:hAnsiTheme="minorEastAsia"/>
        </w:rPr>
        <w:footnoteReference w:id="6"/>
      </w:r>
      <w:r w:rsidRPr="00901654">
        <w:rPr>
          <w:rFonts w:asciiTheme="minorEastAsia" w:hAnsiTheme="minorEastAsia" w:hint="eastAsia"/>
        </w:rPr>
        <w:t>，兼顧整體性和連續性，尤應重視核心素養的知識、能力與態度在實際生活應用之檢核，以反映學生學習情形或應用成效，並進行有效評估與回饋。</w:t>
      </w:r>
    </w:p>
    <w:p w:rsidR="00297A31" w:rsidRPr="00C565BD" w:rsidRDefault="00A113A3" w:rsidP="00C565BD">
      <w:pPr>
        <w:pStyle w:val="ad"/>
        <w:autoSpaceDE w:val="0"/>
        <w:autoSpaceDN w:val="0"/>
        <w:adjustRightInd w:val="0"/>
        <w:ind w:leftChars="0" w:left="360" w:firstLineChars="200" w:firstLine="480"/>
        <w:jc w:val="both"/>
        <w:rPr>
          <w:rFonts w:asciiTheme="minorEastAsia" w:hAnsiTheme="minorEastAsia" w:cs="新細明體"/>
          <w:b/>
          <w:color w:val="000000"/>
        </w:rPr>
      </w:pPr>
      <w:r w:rsidRPr="00C565BD">
        <w:rPr>
          <w:rFonts w:asciiTheme="minorEastAsia" w:hAnsiTheme="minorEastAsia" w:hint="eastAsia"/>
        </w:rPr>
        <w:t>此外，</w:t>
      </w:r>
      <w:r w:rsidR="00297A31" w:rsidRPr="00C565BD">
        <w:rPr>
          <w:rFonts w:asciiTheme="minorEastAsia" w:hAnsiTheme="minorEastAsia" w:hint="eastAsia"/>
        </w:rPr>
        <w:t>可參照總綱及各領綱中「實施要點-</w:t>
      </w:r>
      <w:r w:rsidR="00297A31" w:rsidRPr="00C565BD">
        <w:rPr>
          <w:rFonts w:asciiTheme="minorEastAsia" w:hAnsiTheme="minorEastAsia"/>
        </w:rPr>
        <w:t>-</w:t>
      </w:r>
      <w:r w:rsidR="00297A31" w:rsidRPr="00C565BD">
        <w:rPr>
          <w:rFonts w:asciiTheme="minorEastAsia" w:hAnsiTheme="minorEastAsia" w:hint="eastAsia"/>
        </w:rPr>
        <w:t>學習評量」的相關敘述，或測評單位（如教育部心測中心、提升國民素養實施方案、國教院測驗及評量研究中心等）的</w:t>
      </w:r>
      <w:r>
        <w:rPr>
          <w:rFonts w:asciiTheme="minorEastAsia" w:hAnsiTheme="minorEastAsia" w:hint="eastAsia"/>
        </w:rPr>
        <w:t>相關資料，轉化</w:t>
      </w:r>
      <w:r w:rsidR="00297A31" w:rsidRPr="00C565BD">
        <w:rPr>
          <w:rFonts w:asciiTheme="minorEastAsia" w:hAnsiTheme="minorEastAsia" w:hint="eastAsia"/>
        </w:rPr>
        <w:t>發展素養導向的評量標準</w:t>
      </w:r>
      <w:r>
        <w:rPr>
          <w:rFonts w:asciiTheme="minorEastAsia" w:hAnsiTheme="minorEastAsia" w:hint="eastAsia"/>
        </w:rPr>
        <w:t>或</w:t>
      </w:r>
      <w:r w:rsidR="00297A31" w:rsidRPr="00C565BD">
        <w:rPr>
          <w:rFonts w:asciiTheme="minorEastAsia" w:hAnsiTheme="minorEastAsia" w:hint="eastAsia"/>
        </w:rPr>
        <w:t>相關題庫。</w:t>
      </w:r>
    </w:p>
    <w:p w:rsidR="00297A31" w:rsidRPr="00901654" w:rsidRDefault="00297A31" w:rsidP="00C565BD">
      <w:pPr>
        <w:pStyle w:val="ad"/>
        <w:numPr>
          <w:ilvl w:val="0"/>
          <w:numId w:val="5"/>
        </w:numPr>
        <w:autoSpaceDE w:val="0"/>
        <w:autoSpaceDN w:val="0"/>
        <w:adjustRightInd w:val="0"/>
        <w:ind w:leftChars="0"/>
        <w:jc w:val="both"/>
        <w:rPr>
          <w:rFonts w:asciiTheme="minorEastAsia" w:hAnsiTheme="minorEastAsia" w:cs="新細明體"/>
          <w:b/>
          <w:color w:val="000000"/>
        </w:rPr>
      </w:pPr>
      <w:r w:rsidRPr="00901654">
        <w:rPr>
          <w:rFonts w:asciiTheme="minorEastAsia" w:hAnsiTheme="minorEastAsia" w:cs="新細明體" w:hint="eastAsia"/>
          <w:b/>
          <w:color w:val="000000"/>
        </w:rPr>
        <w:t>評量方</w:t>
      </w:r>
      <w:r>
        <w:rPr>
          <w:rFonts w:asciiTheme="minorEastAsia" w:hAnsiTheme="minorEastAsia" w:cs="新細明體" w:hint="eastAsia"/>
          <w:b/>
          <w:color w:val="000000"/>
        </w:rPr>
        <w:t>式</w:t>
      </w:r>
    </w:p>
    <w:p w:rsidR="00C565BD" w:rsidRDefault="00C565BD" w:rsidP="00C565BD">
      <w:pPr>
        <w:pStyle w:val="ad"/>
        <w:autoSpaceDE w:val="0"/>
        <w:autoSpaceDN w:val="0"/>
        <w:adjustRightInd w:val="0"/>
        <w:ind w:leftChars="0" w:left="360" w:firstLineChars="200" w:firstLine="480"/>
        <w:jc w:val="both"/>
        <w:rPr>
          <w:rFonts w:asciiTheme="minorEastAsia" w:hAnsiTheme="minorEastAsia"/>
        </w:rPr>
      </w:pPr>
      <w:r>
        <w:rPr>
          <w:rFonts w:hint="eastAsia"/>
          <w:szCs w:val="24"/>
        </w:rPr>
        <w:t>可參考下列方式：（一）</w:t>
      </w:r>
      <w:r w:rsidR="00297A31" w:rsidRPr="00901654">
        <w:rPr>
          <w:rFonts w:asciiTheme="minorEastAsia" w:hAnsiTheme="minorEastAsia" w:hint="eastAsia"/>
        </w:rPr>
        <w:t>表現本位評量（performance-based assessment）</w:t>
      </w:r>
      <w:r>
        <w:rPr>
          <w:rFonts w:asciiTheme="minorEastAsia" w:hAnsiTheme="minorEastAsia" w:hint="eastAsia"/>
        </w:rPr>
        <w:t>-</w:t>
      </w:r>
      <w:r>
        <w:rPr>
          <w:rFonts w:asciiTheme="minorEastAsia" w:hAnsiTheme="minorEastAsia"/>
        </w:rPr>
        <w:t>-</w:t>
      </w:r>
      <w:r w:rsidR="00297A31" w:rsidRPr="00901654">
        <w:rPr>
          <w:rFonts w:asciiTheme="minorEastAsia" w:hAnsiTheme="minorEastAsia" w:hint="eastAsia"/>
        </w:rPr>
        <w:t>從真實情境或任務賦予，評量學生分析、團隊工作、訪談、角色扮演、實驗、解決問題、展示等能力</w:t>
      </w:r>
      <w:r>
        <w:rPr>
          <w:rFonts w:asciiTheme="minorEastAsia" w:hAnsiTheme="minorEastAsia" w:hint="eastAsia"/>
        </w:rPr>
        <w:t>；（二）</w:t>
      </w:r>
      <w:r w:rsidR="00297A31" w:rsidRPr="00901654">
        <w:rPr>
          <w:rFonts w:asciiTheme="minorEastAsia" w:hAnsiTheme="minorEastAsia" w:hint="eastAsia"/>
        </w:rPr>
        <w:t>卷宗評量（portfolio assessment）</w:t>
      </w:r>
      <w:r>
        <w:rPr>
          <w:rFonts w:asciiTheme="minorEastAsia" w:hAnsiTheme="minorEastAsia" w:hint="eastAsia"/>
        </w:rPr>
        <w:t>-</w:t>
      </w:r>
      <w:r>
        <w:rPr>
          <w:rFonts w:asciiTheme="minorEastAsia" w:hAnsiTheme="minorEastAsia"/>
        </w:rPr>
        <w:t>-</w:t>
      </w:r>
      <w:r w:rsidR="00297A31" w:rsidRPr="00901654">
        <w:rPr>
          <w:rFonts w:asciiTheme="minorEastAsia" w:hAnsiTheme="minorEastAsia" w:hint="eastAsia"/>
        </w:rPr>
        <w:t>卷宗可以評估學生將知識、技能與態度運用於適當情境脈絡中的歷程，以及學生在某種學習項目上進步或改變的情形</w:t>
      </w:r>
      <w:r>
        <w:rPr>
          <w:rFonts w:asciiTheme="minorEastAsia" w:hAnsiTheme="minorEastAsia" w:hint="eastAsia"/>
        </w:rPr>
        <w:t>；（三）</w:t>
      </w:r>
      <w:r w:rsidR="00297A31" w:rsidRPr="00EC6DB2">
        <w:rPr>
          <w:rFonts w:asciiTheme="minorEastAsia" w:hAnsiTheme="minorEastAsia" w:hint="eastAsia"/>
        </w:rPr>
        <w:t>學生自我評量（self- assessment）</w:t>
      </w:r>
      <w:r>
        <w:rPr>
          <w:rFonts w:asciiTheme="minorEastAsia" w:hAnsiTheme="minorEastAsia" w:hint="eastAsia"/>
        </w:rPr>
        <w:t>-</w:t>
      </w:r>
      <w:r>
        <w:rPr>
          <w:rFonts w:asciiTheme="minorEastAsia" w:hAnsiTheme="minorEastAsia"/>
        </w:rPr>
        <w:t>-</w:t>
      </w:r>
      <w:r w:rsidR="00297A31" w:rsidRPr="00EC6DB2">
        <w:rPr>
          <w:rFonts w:asciiTheme="minorEastAsia" w:hAnsiTheme="minorEastAsia" w:hint="eastAsia"/>
        </w:rPr>
        <w:t>由學生自己檢核自己的學習結果，透過管理與監控自己的學習歷程，提升後設認知的能力。</w:t>
      </w:r>
    </w:p>
    <w:p w:rsidR="00054619" w:rsidRPr="00297A31" w:rsidRDefault="00C565BD" w:rsidP="00C565BD">
      <w:pPr>
        <w:pStyle w:val="ad"/>
        <w:autoSpaceDE w:val="0"/>
        <w:autoSpaceDN w:val="0"/>
        <w:adjustRightInd w:val="0"/>
        <w:ind w:leftChars="0" w:left="360" w:firstLineChars="200" w:firstLine="480"/>
        <w:jc w:val="both"/>
        <w:rPr>
          <w:rFonts w:ascii="標楷體" w:eastAsia="標楷體" w:hAnsi="標楷體"/>
          <w:b/>
          <w:color w:val="000000" w:themeColor="text1"/>
          <w:szCs w:val="24"/>
        </w:rPr>
      </w:pPr>
      <w:r>
        <w:rPr>
          <w:szCs w:val="24"/>
        </w:rPr>
        <w:t>惟</w:t>
      </w:r>
      <w:r w:rsidRPr="00C565BD">
        <w:rPr>
          <w:rFonts w:asciiTheme="minorEastAsia" w:hAnsiTheme="minorEastAsia" w:hint="eastAsia"/>
        </w:rPr>
        <w:t>學習</w:t>
      </w:r>
      <w:r w:rsidRPr="00C565BD">
        <w:rPr>
          <w:rFonts w:hint="eastAsia"/>
          <w:szCs w:val="24"/>
        </w:rPr>
        <w:t>評量方法及工具有其限制，它可引導教學設計並趨近性的了解及</w:t>
      </w:r>
      <w:r w:rsidRPr="00C565BD">
        <w:rPr>
          <w:rFonts w:hint="eastAsia"/>
          <w:szCs w:val="24"/>
        </w:rPr>
        <w:lastRenderedPageBreak/>
        <w:t>改善學生學習，但難以完全涵蓋所有學習的層面及成果，宜依學校課程及教學性質，妥善調整運用</w:t>
      </w:r>
      <w:r w:rsidR="00A113A3" w:rsidRPr="00C565BD">
        <w:rPr>
          <w:rFonts w:asciiTheme="minorEastAsia" w:hAnsiTheme="minorEastAsia" w:hint="eastAsia"/>
        </w:rPr>
        <w:t>，以掌握學生素養表現的程度，並做為課程規劃及教學設計改進的依據</w:t>
      </w:r>
      <w:r w:rsidRPr="00C565BD">
        <w:rPr>
          <w:rFonts w:hint="eastAsia"/>
          <w:szCs w:val="24"/>
        </w:rPr>
        <w:t>。</w:t>
      </w:r>
    </w:p>
    <w:p w:rsidR="00297FF5" w:rsidRPr="00054619" w:rsidRDefault="00054619" w:rsidP="005313CC">
      <w:pPr>
        <w:spacing w:beforeLines="50" w:before="180"/>
        <w:ind w:left="357" w:right="-198" w:hanging="357"/>
        <w:rPr>
          <w:rFonts w:asciiTheme="minorEastAsia" w:hAnsiTheme="minorEastAsia"/>
        </w:rPr>
      </w:pPr>
      <w:r w:rsidRPr="00054619">
        <w:rPr>
          <w:rFonts w:asciiTheme="minorEastAsia" w:hAnsiTheme="minorEastAsia"/>
          <w:b/>
          <w:color w:val="000000" w:themeColor="text1"/>
          <w:szCs w:val="24"/>
        </w:rPr>
        <w:t>1.2.4</w:t>
      </w:r>
      <w:r w:rsidR="00297FF5" w:rsidRPr="00054619">
        <w:rPr>
          <w:rFonts w:asciiTheme="minorEastAsia" w:hAnsiTheme="minorEastAsia"/>
          <w:b/>
          <w:color w:val="000000" w:themeColor="text1"/>
          <w:szCs w:val="24"/>
        </w:rPr>
        <w:t>議題</w:t>
      </w:r>
      <w:r w:rsidR="000C4E11" w:rsidRPr="00054619">
        <w:rPr>
          <w:rFonts w:asciiTheme="minorEastAsia" w:hAnsiTheme="minorEastAsia"/>
          <w:b/>
          <w:color w:val="000000" w:themeColor="text1"/>
          <w:szCs w:val="24"/>
        </w:rPr>
        <w:t>怎麼融入學校課程與教學中？</w:t>
      </w:r>
      <w:r w:rsidR="004406F3" w:rsidRPr="00054619">
        <w:rPr>
          <w:rFonts w:asciiTheme="minorEastAsia" w:hAnsiTheme="minorEastAsia"/>
        </w:rPr>
        <w:t xml:space="preserve"> </w:t>
      </w:r>
    </w:p>
    <w:p w:rsidR="00921C5C" w:rsidRPr="00054619" w:rsidRDefault="000C4E11" w:rsidP="005313CC">
      <w:pPr>
        <w:pStyle w:val="ad"/>
        <w:numPr>
          <w:ilvl w:val="0"/>
          <w:numId w:val="7"/>
        </w:numPr>
        <w:spacing w:beforeLines="50" w:before="180"/>
        <w:ind w:leftChars="0" w:right="-198"/>
        <w:rPr>
          <w:rFonts w:asciiTheme="minorEastAsia" w:hAnsiTheme="minorEastAsia" w:cs="新細明體"/>
          <w:b/>
          <w:color w:val="000000"/>
        </w:rPr>
      </w:pPr>
      <w:r w:rsidRPr="00054619">
        <w:rPr>
          <w:rFonts w:asciiTheme="minorEastAsia" w:hAnsiTheme="minorEastAsia" w:cs="新細明體" w:hint="eastAsia"/>
          <w:b/>
          <w:color w:val="000000"/>
        </w:rPr>
        <w:t>議題融入的</w:t>
      </w:r>
      <w:r w:rsidR="00921C5C" w:rsidRPr="00054619">
        <w:rPr>
          <w:rFonts w:asciiTheme="minorEastAsia" w:hAnsiTheme="minorEastAsia" w:cs="新細明體" w:hint="eastAsia"/>
          <w:b/>
          <w:color w:val="000000"/>
        </w:rPr>
        <w:t>意涵</w:t>
      </w:r>
      <w:r w:rsidRPr="00054619">
        <w:rPr>
          <w:rFonts w:asciiTheme="minorEastAsia" w:hAnsiTheme="minorEastAsia" w:cs="新細明體" w:hint="eastAsia"/>
          <w:b/>
          <w:color w:val="000000"/>
        </w:rPr>
        <w:t>及目標</w:t>
      </w:r>
    </w:p>
    <w:p w:rsidR="000C4E11" w:rsidRPr="000C4E11" w:rsidRDefault="00921C5C" w:rsidP="000C4E11">
      <w:pPr>
        <w:pStyle w:val="ad"/>
        <w:autoSpaceDE w:val="0"/>
        <w:autoSpaceDN w:val="0"/>
        <w:adjustRightInd w:val="0"/>
        <w:ind w:leftChars="0" w:left="360" w:firstLineChars="194" w:firstLine="466"/>
        <w:jc w:val="both"/>
      </w:pPr>
      <w:r w:rsidRPr="002E2247">
        <w:rPr>
          <w:rFonts w:ascii="Calibri" w:hAnsi="Calibri" w:hint="eastAsia"/>
          <w:bCs/>
          <w:kern w:val="0"/>
        </w:rPr>
        <w:t>面對社會快速變遷及全球化時代來臨，</w:t>
      </w:r>
      <w:r w:rsidR="002E2247">
        <w:rPr>
          <w:rFonts w:ascii="Calibri" w:hAnsi="Calibri" w:hint="eastAsia"/>
          <w:bCs/>
          <w:kern w:val="0"/>
        </w:rPr>
        <w:t>學校</w:t>
      </w:r>
      <w:r w:rsidRPr="002E2247">
        <w:rPr>
          <w:rFonts w:ascii="Calibri" w:hAnsi="Calibri" w:hint="eastAsia"/>
          <w:bCs/>
          <w:kern w:val="0"/>
        </w:rPr>
        <w:t>課程發展</w:t>
      </w:r>
      <w:r w:rsidR="002E2247">
        <w:rPr>
          <w:rFonts w:ascii="Calibri" w:hAnsi="Calibri" w:hint="eastAsia"/>
          <w:bCs/>
          <w:kern w:val="0"/>
        </w:rPr>
        <w:t>亦應</w:t>
      </w:r>
      <w:r w:rsidRPr="002E2247">
        <w:rPr>
          <w:rFonts w:ascii="Calibri" w:hAnsi="Calibri" w:hint="eastAsia"/>
          <w:bCs/>
          <w:kern w:val="0"/>
        </w:rPr>
        <w:t>關注</w:t>
      </w:r>
      <w:r w:rsidR="002E2247">
        <w:rPr>
          <w:rFonts w:ascii="Calibri" w:hAnsi="Calibri" w:hint="eastAsia"/>
          <w:bCs/>
          <w:kern w:val="0"/>
        </w:rPr>
        <w:t>並結合相關</w:t>
      </w:r>
      <w:r w:rsidRPr="002E2247">
        <w:rPr>
          <w:rFonts w:ascii="Calibri" w:hAnsi="Calibri" w:hint="eastAsia"/>
          <w:bCs/>
          <w:kern w:val="0"/>
        </w:rPr>
        <w:t>議題，</w:t>
      </w:r>
      <w:r w:rsidR="002E2247">
        <w:rPr>
          <w:rFonts w:ascii="Calibri" w:hAnsi="Calibri" w:hint="eastAsia"/>
          <w:bCs/>
          <w:kern w:val="0"/>
        </w:rPr>
        <w:t>以使</w:t>
      </w:r>
      <w:r w:rsidRPr="002E2247">
        <w:rPr>
          <w:rFonts w:ascii="Calibri" w:hAnsi="Calibri" w:hint="eastAsia"/>
          <w:bCs/>
          <w:kern w:val="0"/>
        </w:rPr>
        <w:t>學校教育與社會脈動緊密連結</w:t>
      </w:r>
      <w:r w:rsidRPr="002E2247">
        <w:rPr>
          <w:rFonts w:ascii="Calibri" w:hAnsi="Calibri"/>
          <w:bCs/>
          <w:kern w:val="0"/>
        </w:rPr>
        <w:t>。</w:t>
      </w:r>
    </w:p>
    <w:p w:rsidR="000C4E11" w:rsidRDefault="00946B53" w:rsidP="000C4E11">
      <w:pPr>
        <w:pStyle w:val="ad"/>
        <w:numPr>
          <w:ilvl w:val="0"/>
          <w:numId w:val="5"/>
        </w:numPr>
        <w:autoSpaceDE w:val="0"/>
        <w:autoSpaceDN w:val="0"/>
        <w:adjustRightInd w:val="0"/>
        <w:ind w:leftChars="0"/>
        <w:jc w:val="both"/>
      </w:pPr>
      <w:r>
        <w:rPr>
          <w:rFonts w:ascii="Calibri" w:hAnsi="Calibri" w:hint="eastAsia"/>
          <w:bCs/>
          <w:kern w:val="0"/>
        </w:rPr>
        <w:t>十二年國教課綱</w:t>
      </w:r>
      <w:r w:rsidR="00921C5C" w:rsidRPr="000C4E11">
        <w:rPr>
          <w:rFonts w:ascii="Calibri" w:hAnsi="Calibri" w:hint="eastAsia"/>
          <w:bCs/>
          <w:kern w:val="0"/>
        </w:rPr>
        <w:t>規定，各領域課程設計應適切融入性別平等、人權、環境、海洋、品德、生命、法治、科技、資訊、能源、安全、防災、家庭教育、生涯規劃、多元文化、閱讀素養、戶外教育、國際教育、原住民族教育等</w:t>
      </w:r>
      <w:r w:rsidR="000C4E11">
        <w:rPr>
          <w:rFonts w:ascii="Calibri" w:hAnsi="Calibri" w:hint="eastAsia"/>
          <w:bCs/>
          <w:kern w:val="0"/>
        </w:rPr>
        <w:t>議題</w:t>
      </w:r>
      <w:r w:rsidR="00921C5C" w:rsidRPr="00B74E87">
        <w:rPr>
          <w:rFonts w:hint="eastAsia"/>
        </w:rPr>
        <w:t>。</w:t>
      </w:r>
      <w:r w:rsidR="00921C5C">
        <w:rPr>
          <w:rFonts w:hint="eastAsia"/>
        </w:rPr>
        <w:t>其中，</w:t>
      </w:r>
      <w:r w:rsidR="00921C5C" w:rsidRPr="007265AE">
        <w:rPr>
          <w:rFonts w:hint="eastAsia"/>
        </w:rPr>
        <w:t>性別平等教育、人權教育、環境教育</w:t>
      </w:r>
      <w:r w:rsidR="000C4E11">
        <w:rPr>
          <w:rFonts w:hint="eastAsia"/>
        </w:rPr>
        <w:t>、</w:t>
      </w:r>
      <w:r w:rsidR="00921C5C" w:rsidRPr="007265AE">
        <w:rPr>
          <w:rFonts w:hint="eastAsia"/>
        </w:rPr>
        <w:t>海洋教育，為全球關注、屬國家當前重要政策，是培養現代國民與世界公民之關鍵內涵，同時也是延續九年一貫課程之重大議題。</w:t>
      </w:r>
    </w:p>
    <w:p w:rsidR="00921C5C" w:rsidRPr="00512C69" w:rsidRDefault="000C4E11" w:rsidP="001E4BBB">
      <w:pPr>
        <w:pStyle w:val="ad"/>
        <w:numPr>
          <w:ilvl w:val="0"/>
          <w:numId w:val="5"/>
        </w:numPr>
        <w:autoSpaceDE w:val="0"/>
        <w:autoSpaceDN w:val="0"/>
        <w:adjustRightInd w:val="0"/>
        <w:ind w:leftChars="0"/>
        <w:jc w:val="both"/>
      </w:pPr>
      <w:r>
        <w:rPr>
          <w:rFonts w:hint="eastAsia"/>
        </w:rPr>
        <w:t>議題融入目標在培養</w:t>
      </w:r>
      <w:r w:rsidRPr="000F0A59">
        <w:rPr>
          <w:rFonts w:ascii="標楷體" w:hAnsi="Calibri" w:cs="標楷體" w:hint="eastAsia"/>
          <w:kern w:val="0"/>
        </w:rPr>
        <w:t>學生批判思考及解決問題的能力，提升面對議題的責任感與行動力，實踐</w:t>
      </w:r>
      <w:r w:rsidRPr="000F0A59">
        <w:rPr>
          <w:rFonts w:ascii="標楷體" w:hAnsi="Calibri" w:cs="標楷體" w:hint="eastAsia"/>
          <w:kern w:val="0"/>
        </w:rPr>
        <w:t xml:space="preserve"> </w:t>
      </w:r>
      <w:r w:rsidRPr="000F0A59">
        <w:rPr>
          <w:rFonts w:ascii="標楷體" w:hAnsi="Calibri" w:cs="標楷體" w:hint="eastAsia"/>
          <w:kern w:val="0"/>
        </w:rPr>
        <w:t>「尊重多元、同理關懷、公平正義、永續發展」等核心價值，成為健全個人、良好國民與世界公民。</w:t>
      </w:r>
    </w:p>
    <w:p w:rsidR="00512C69" w:rsidRPr="007265AE" w:rsidRDefault="00512C69" w:rsidP="001E4BBB">
      <w:pPr>
        <w:pStyle w:val="ad"/>
        <w:numPr>
          <w:ilvl w:val="0"/>
          <w:numId w:val="5"/>
        </w:numPr>
        <w:autoSpaceDE w:val="0"/>
        <w:autoSpaceDN w:val="0"/>
        <w:adjustRightInd w:val="0"/>
        <w:ind w:leftChars="0"/>
        <w:jc w:val="both"/>
      </w:pPr>
      <w:r>
        <w:rPr>
          <w:rFonts w:ascii="Calibri" w:hAnsi="Calibri" w:hint="eastAsia"/>
          <w:bCs/>
          <w:kern w:val="0"/>
        </w:rPr>
        <w:t>未來</w:t>
      </w:r>
      <w:r w:rsidRPr="007F7FE6">
        <w:rPr>
          <w:rFonts w:ascii="Calibri" w:hAnsi="Calibri" w:hint="eastAsia"/>
          <w:bCs/>
          <w:kern w:val="0"/>
        </w:rPr>
        <w:t>隨著</w:t>
      </w:r>
      <w:r>
        <w:rPr>
          <w:rFonts w:ascii="Calibri" w:hAnsi="Calibri" w:hint="eastAsia"/>
          <w:bCs/>
          <w:kern w:val="0"/>
        </w:rPr>
        <w:t>社會的變遷與時代的推移，議題內涵亦會發生改變或產生新議題，故學校或教師</w:t>
      </w:r>
      <w:r w:rsidRPr="007F7FE6">
        <w:rPr>
          <w:rFonts w:ascii="Calibri" w:hAnsi="Calibri" w:hint="eastAsia"/>
          <w:bCs/>
          <w:kern w:val="0"/>
        </w:rPr>
        <w:t>宜對議題具備高度敏覺性，因應環境之變化，活化與深化</w:t>
      </w:r>
      <w:r>
        <w:rPr>
          <w:rFonts w:ascii="Calibri" w:hAnsi="Calibri" w:hint="eastAsia"/>
          <w:bCs/>
          <w:kern w:val="0"/>
        </w:rPr>
        <w:t>各項學習活動</w:t>
      </w:r>
      <w:r w:rsidRPr="0044775B">
        <w:rPr>
          <w:rFonts w:ascii="Calibri" w:hAnsi="Calibri" w:hint="eastAsia"/>
          <w:bCs/>
          <w:kern w:val="0"/>
        </w:rPr>
        <w:t>。</w:t>
      </w:r>
    </w:p>
    <w:p w:rsidR="00921C5C" w:rsidRPr="00054619" w:rsidRDefault="000C4E11" w:rsidP="005313CC">
      <w:pPr>
        <w:pStyle w:val="ad"/>
        <w:numPr>
          <w:ilvl w:val="0"/>
          <w:numId w:val="7"/>
        </w:numPr>
        <w:spacing w:beforeLines="50" w:before="180"/>
        <w:ind w:leftChars="0" w:right="-198"/>
        <w:rPr>
          <w:rFonts w:asciiTheme="minorEastAsia" w:hAnsiTheme="minorEastAsia" w:cs="新細明體"/>
          <w:b/>
          <w:color w:val="000000"/>
        </w:rPr>
      </w:pPr>
      <w:r w:rsidRPr="00054619">
        <w:rPr>
          <w:rFonts w:asciiTheme="minorEastAsia" w:hAnsiTheme="minorEastAsia" w:cs="新細明體" w:hint="eastAsia"/>
          <w:b/>
          <w:color w:val="000000"/>
        </w:rPr>
        <w:t>議題融入的方式</w:t>
      </w:r>
    </w:p>
    <w:p w:rsidR="00DC73CB" w:rsidRPr="00C565BD" w:rsidRDefault="000F0A59" w:rsidP="00C24924">
      <w:pPr>
        <w:snapToGrid w:val="0"/>
        <w:ind w:firstLineChars="200" w:firstLine="480"/>
        <w:rPr>
          <w:rFonts w:ascii="Calibri" w:hAnsi="Calibri"/>
          <w:bCs/>
          <w:kern w:val="0"/>
        </w:rPr>
      </w:pPr>
      <w:r w:rsidRPr="00B74E87">
        <w:rPr>
          <w:rFonts w:hint="eastAsia"/>
        </w:rPr>
        <w:t>議題</w:t>
      </w:r>
      <w:r>
        <w:rPr>
          <w:rFonts w:hint="eastAsia"/>
        </w:rPr>
        <w:t>本身</w:t>
      </w:r>
      <w:r w:rsidRPr="00B74E87">
        <w:rPr>
          <w:rFonts w:hint="eastAsia"/>
        </w:rPr>
        <w:t>多具跨</w:t>
      </w:r>
      <w:r>
        <w:rPr>
          <w:rFonts w:hint="eastAsia"/>
        </w:rPr>
        <w:t>學科</w:t>
      </w:r>
      <w:r w:rsidRPr="00B74E87">
        <w:rPr>
          <w:rFonts w:hint="eastAsia"/>
        </w:rPr>
        <w:t>之性質，</w:t>
      </w:r>
      <w:r>
        <w:rPr>
          <w:rFonts w:hint="eastAsia"/>
        </w:rPr>
        <w:t>藉由</w:t>
      </w:r>
      <w:r w:rsidRPr="002612B9">
        <w:rPr>
          <w:rFonts w:ascii="Calibri" w:hAnsi="Calibri" w:hint="eastAsia"/>
          <w:bCs/>
          <w:kern w:val="0"/>
        </w:rPr>
        <w:t>融入領域</w:t>
      </w:r>
      <w:r>
        <w:rPr>
          <w:rFonts w:ascii="Calibri" w:hAnsi="Calibri" w:hint="eastAsia"/>
          <w:bCs/>
          <w:kern w:val="0"/>
        </w:rPr>
        <w:t>/</w:t>
      </w:r>
      <w:r>
        <w:rPr>
          <w:rFonts w:ascii="Calibri" w:hAnsi="Calibri" w:hint="eastAsia"/>
          <w:bCs/>
          <w:kern w:val="0"/>
        </w:rPr>
        <w:t>科目</w:t>
      </w:r>
      <w:r>
        <w:rPr>
          <w:rFonts w:ascii="Calibri" w:hAnsi="Calibri" w:hint="eastAsia"/>
          <w:bCs/>
          <w:kern w:val="0"/>
        </w:rPr>
        <w:t>/</w:t>
      </w:r>
      <w:r>
        <w:rPr>
          <w:rFonts w:ascii="Calibri" w:hAnsi="Calibri" w:hint="eastAsia"/>
          <w:bCs/>
          <w:kern w:val="0"/>
        </w:rPr>
        <w:t>活動</w:t>
      </w:r>
      <w:r>
        <w:rPr>
          <w:rFonts w:ascii="Calibri" w:hAnsi="Calibri" w:hint="eastAsia"/>
          <w:bCs/>
          <w:kern w:val="0"/>
        </w:rPr>
        <w:t>/</w:t>
      </w:r>
      <w:r>
        <w:rPr>
          <w:rFonts w:ascii="Calibri" w:hAnsi="Calibri" w:hint="eastAsia"/>
          <w:bCs/>
          <w:kern w:val="0"/>
        </w:rPr>
        <w:t>環境中，拓展</w:t>
      </w:r>
      <w:r w:rsidRPr="002612B9">
        <w:rPr>
          <w:rFonts w:ascii="Calibri" w:hAnsi="Calibri" w:hint="eastAsia"/>
          <w:bCs/>
          <w:kern w:val="0"/>
        </w:rPr>
        <w:t>學習視角，期使學生</w:t>
      </w:r>
      <w:r>
        <w:rPr>
          <w:rFonts w:ascii="Calibri" w:hAnsi="Calibri" w:hint="eastAsia"/>
          <w:bCs/>
          <w:kern w:val="0"/>
        </w:rPr>
        <w:t>對生活現象</w:t>
      </w:r>
      <w:r w:rsidRPr="002612B9">
        <w:rPr>
          <w:rFonts w:ascii="Calibri" w:hAnsi="Calibri" w:hint="eastAsia"/>
          <w:bCs/>
          <w:kern w:val="0"/>
        </w:rPr>
        <w:t>獲致較</w:t>
      </w:r>
      <w:r>
        <w:rPr>
          <w:rFonts w:ascii="Calibri" w:hAnsi="Calibri" w:hint="eastAsia"/>
          <w:bCs/>
          <w:kern w:val="0"/>
        </w:rPr>
        <w:t>豐富多元</w:t>
      </w:r>
      <w:r w:rsidRPr="002612B9">
        <w:rPr>
          <w:rFonts w:ascii="Calibri" w:hAnsi="Calibri" w:hint="eastAsia"/>
          <w:bCs/>
          <w:kern w:val="0"/>
        </w:rPr>
        <w:t>與完整透徹的認識</w:t>
      </w:r>
      <w:r w:rsidR="00B61D97">
        <w:rPr>
          <w:rFonts w:ascii="Calibri" w:hAnsi="Calibri" w:hint="eastAsia"/>
          <w:bCs/>
          <w:kern w:val="0"/>
        </w:rPr>
        <w:t>，</w:t>
      </w:r>
      <w:r w:rsidR="00B61D97" w:rsidRPr="00C565BD">
        <w:rPr>
          <w:rFonts w:ascii="Calibri" w:hAnsi="Calibri" w:hint="eastAsia"/>
          <w:bCs/>
          <w:kern w:val="0"/>
        </w:rPr>
        <w:t>並有助核心素養的陶養</w:t>
      </w:r>
      <w:r w:rsidRPr="00C565BD">
        <w:rPr>
          <w:rFonts w:hint="eastAsia"/>
        </w:rPr>
        <w:t>。可由</w:t>
      </w:r>
      <w:r w:rsidR="00DC73CB" w:rsidRPr="00C565BD">
        <w:rPr>
          <w:rFonts w:hint="eastAsia"/>
        </w:rPr>
        <w:t>下列方式</w:t>
      </w:r>
      <w:r w:rsidRPr="00C565BD">
        <w:rPr>
          <w:rFonts w:ascii="Calibri" w:hAnsi="Calibri" w:hint="eastAsia"/>
          <w:bCs/>
          <w:kern w:val="0"/>
        </w:rPr>
        <w:t>進行議題融入課程規劃與教學設計</w:t>
      </w:r>
      <w:bookmarkStart w:id="1" w:name="_Toc449455362"/>
      <w:r w:rsidR="00DC73CB" w:rsidRPr="00C565BD">
        <w:rPr>
          <w:rFonts w:ascii="Calibri" w:hAnsi="Calibri" w:hint="eastAsia"/>
          <w:bCs/>
          <w:kern w:val="0"/>
        </w:rPr>
        <w:t>：</w:t>
      </w:r>
    </w:p>
    <w:bookmarkEnd w:id="1"/>
    <w:p w:rsidR="00DC73CB" w:rsidRPr="00C565BD" w:rsidRDefault="00DC73CB" w:rsidP="00DC73CB">
      <w:pPr>
        <w:pStyle w:val="ad"/>
        <w:numPr>
          <w:ilvl w:val="0"/>
          <w:numId w:val="5"/>
        </w:numPr>
        <w:autoSpaceDE w:val="0"/>
        <w:autoSpaceDN w:val="0"/>
        <w:adjustRightInd w:val="0"/>
        <w:ind w:leftChars="0"/>
        <w:jc w:val="both"/>
        <w:rPr>
          <w:rFonts w:ascii="Calibri" w:hAnsi="Calibri"/>
          <w:bCs/>
          <w:kern w:val="0"/>
        </w:rPr>
      </w:pPr>
      <w:r w:rsidRPr="00C565BD">
        <w:rPr>
          <w:rFonts w:ascii="Calibri" w:hAnsi="Calibri"/>
          <w:b/>
          <w:bCs/>
          <w:kern w:val="0"/>
          <w:sz w:val="22"/>
        </w:rPr>
        <w:t>領域</w:t>
      </w:r>
      <w:r w:rsidRPr="00C565BD">
        <w:rPr>
          <w:rFonts w:ascii="Calibri" w:hAnsi="Calibri"/>
          <w:b/>
          <w:bCs/>
          <w:kern w:val="0"/>
          <w:sz w:val="22"/>
        </w:rPr>
        <w:t>/</w:t>
      </w:r>
      <w:r w:rsidRPr="00C565BD">
        <w:rPr>
          <w:rFonts w:ascii="Calibri" w:hAnsi="Calibri"/>
          <w:b/>
          <w:bCs/>
          <w:kern w:val="0"/>
          <w:sz w:val="22"/>
        </w:rPr>
        <w:t>科目教學</w:t>
      </w:r>
      <w:r w:rsidR="001B4726" w:rsidRPr="00C565BD">
        <w:rPr>
          <w:rFonts w:ascii="Calibri" w:hAnsi="Calibri"/>
          <w:b/>
          <w:bCs/>
          <w:kern w:val="0"/>
          <w:sz w:val="22"/>
        </w:rPr>
        <w:t>：</w:t>
      </w:r>
      <w:r w:rsidR="00C24924" w:rsidRPr="00C565BD">
        <w:rPr>
          <w:rFonts w:ascii="Calibri" w:hAnsi="Calibri" w:hint="eastAsia"/>
          <w:bCs/>
          <w:kern w:val="0"/>
          <w:lang w:eastAsia="zh-HK"/>
        </w:rPr>
        <w:t>議題可</w:t>
      </w:r>
      <w:r w:rsidR="00C24924" w:rsidRPr="00C565BD">
        <w:rPr>
          <w:rFonts w:ascii="Calibri" w:hAnsi="Calibri" w:hint="eastAsia"/>
          <w:bCs/>
          <w:kern w:val="0"/>
        </w:rPr>
        <w:t>融</w:t>
      </w:r>
      <w:r w:rsidR="00C24924" w:rsidRPr="00C565BD">
        <w:rPr>
          <w:rFonts w:ascii="Calibri" w:hAnsi="Calibri" w:hint="eastAsia"/>
          <w:bCs/>
          <w:kern w:val="0"/>
          <w:lang w:eastAsia="zh-HK"/>
        </w:rPr>
        <w:t>入各</w:t>
      </w:r>
      <w:r w:rsidR="00C24924" w:rsidRPr="00C565BD">
        <w:rPr>
          <w:rFonts w:ascii="Calibri" w:hAnsi="Calibri" w:hint="eastAsia"/>
          <w:bCs/>
          <w:kern w:val="0"/>
        </w:rPr>
        <w:t>領域</w:t>
      </w:r>
      <w:r w:rsidR="00C24924" w:rsidRPr="00C565BD">
        <w:rPr>
          <w:rFonts w:ascii="Calibri" w:hAnsi="Calibri" w:hint="eastAsia"/>
          <w:bCs/>
          <w:kern w:val="0"/>
        </w:rPr>
        <w:t>/</w:t>
      </w:r>
      <w:r w:rsidR="00C24924" w:rsidRPr="00C565BD">
        <w:rPr>
          <w:rFonts w:ascii="Calibri" w:hAnsi="Calibri" w:hint="eastAsia"/>
          <w:bCs/>
          <w:kern w:val="0"/>
          <w:lang w:eastAsia="zh-HK"/>
        </w:rPr>
        <w:t>科目</w:t>
      </w:r>
      <w:r w:rsidR="00C24924" w:rsidRPr="00C565BD">
        <w:rPr>
          <w:rFonts w:ascii="Calibri" w:hAnsi="Calibri" w:hint="eastAsia"/>
          <w:bCs/>
          <w:kern w:val="0"/>
        </w:rPr>
        <w:t>之學習重點，</w:t>
      </w:r>
      <w:r w:rsidR="00C24924" w:rsidRPr="00C565BD">
        <w:rPr>
          <w:rFonts w:ascii="Calibri" w:hAnsi="Calibri" w:hint="eastAsia"/>
          <w:bCs/>
          <w:kern w:val="0"/>
          <w:lang w:eastAsia="zh-HK"/>
        </w:rPr>
        <w:t>並與</w:t>
      </w:r>
      <w:r w:rsidR="00C24924" w:rsidRPr="00C565BD">
        <w:rPr>
          <w:rFonts w:ascii="Calibri" w:hAnsi="Calibri" w:hint="eastAsia"/>
          <w:bCs/>
          <w:kern w:val="0"/>
        </w:rPr>
        <w:t>議題實質內涵連結、延伸、統整與轉化，</w:t>
      </w:r>
      <w:r w:rsidR="00C24924" w:rsidRPr="00C565BD">
        <w:rPr>
          <w:rFonts w:ascii="Calibri" w:hAnsi="Calibri" w:hint="eastAsia"/>
          <w:bCs/>
          <w:kern w:val="0"/>
          <w:lang w:eastAsia="zh-HK"/>
        </w:rPr>
        <w:t>深化與</w:t>
      </w:r>
      <w:r w:rsidR="00C24924" w:rsidRPr="00C565BD">
        <w:rPr>
          <w:rFonts w:ascii="Calibri" w:hAnsi="Calibri" w:hint="eastAsia"/>
          <w:bCs/>
          <w:kern w:val="0"/>
        </w:rPr>
        <w:t>延</w:t>
      </w:r>
      <w:r w:rsidR="00C24924" w:rsidRPr="00C565BD">
        <w:rPr>
          <w:rFonts w:ascii="Calibri" w:hAnsi="Calibri" w:hint="eastAsia"/>
          <w:bCs/>
          <w:kern w:val="0"/>
          <w:lang w:eastAsia="zh-HK"/>
        </w:rPr>
        <w:t>展對學習重</w:t>
      </w:r>
      <w:r w:rsidR="006F4225" w:rsidRPr="00C565BD">
        <w:rPr>
          <w:rFonts w:ascii="Calibri" w:hAnsi="Calibri" w:hint="eastAsia"/>
          <w:bCs/>
          <w:kern w:val="0"/>
          <w:lang w:eastAsia="zh-HK"/>
        </w:rPr>
        <w:t>點</w:t>
      </w:r>
      <w:r w:rsidR="00C24924" w:rsidRPr="00C565BD">
        <w:rPr>
          <w:rFonts w:ascii="Calibri" w:hAnsi="Calibri" w:hint="eastAsia"/>
          <w:bCs/>
          <w:kern w:val="0"/>
        </w:rPr>
        <w:t>探究、思辦與實踐的能</w:t>
      </w:r>
      <w:r w:rsidR="00C24924" w:rsidRPr="00C565BD">
        <w:rPr>
          <w:rFonts w:ascii="Calibri" w:hAnsi="Calibri" w:hint="eastAsia"/>
          <w:bCs/>
          <w:kern w:val="0"/>
          <w:lang w:eastAsia="zh-HK"/>
        </w:rPr>
        <w:t>力</w:t>
      </w:r>
      <w:r w:rsidR="005313CC" w:rsidRPr="00C565BD">
        <w:rPr>
          <w:rFonts w:ascii="Calibri" w:hAnsi="Calibri" w:hint="eastAsia"/>
          <w:bCs/>
          <w:kern w:val="0"/>
          <w:lang w:eastAsia="zh-HK"/>
        </w:rPr>
        <w:t>。</w:t>
      </w:r>
      <w:r w:rsidRPr="00C565BD">
        <w:rPr>
          <w:rFonts w:ascii="Calibri" w:hAnsi="Calibri" w:hint="eastAsia"/>
          <w:bCs/>
          <w:kern w:val="0"/>
        </w:rPr>
        <w:t>除</w:t>
      </w:r>
      <w:r w:rsidR="000F0A59" w:rsidRPr="00C565BD">
        <w:rPr>
          <w:rFonts w:ascii="Calibri" w:hAnsi="Calibri" w:hint="eastAsia"/>
          <w:bCs/>
          <w:kern w:val="0"/>
        </w:rPr>
        <w:t>融入</w:t>
      </w:r>
      <w:r w:rsidRPr="00C565BD">
        <w:rPr>
          <w:rFonts w:ascii="Calibri" w:hAnsi="Calibri" w:hint="eastAsia"/>
          <w:bCs/>
          <w:kern w:val="0"/>
        </w:rPr>
        <w:t>部定必修的</w:t>
      </w:r>
      <w:r w:rsidR="000F0A59" w:rsidRPr="00C565BD">
        <w:rPr>
          <w:rFonts w:ascii="Calibri" w:hAnsi="Calibri" w:hint="eastAsia"/>
          <w:bCs/>
          <w:kern w:val="0"/>
        </w:rPr>
        <w:t>各領域</w:t>
      </w:r>
      <w:r w:rsidR="000F0A59" w:rsidRPr="00C565BD">
        <w:rPr>
          <w:rFonts w:ascii="Calibri" w:hAnsi="Calibri" w:hint="eastAsia"/>
          <w:bCs/>
          <w:kern w:val="0"/>
        </w:rPr>
        <w:t>/</w:t>
      </w:r>
      <w:r w:rsidR="000F0A59" w:rsidRPr="00C565BD">
        <w:rPr>
          <w:rFonts w:ascii="Calibri" w:hAnsi="Calibri" w:hint="eastAsia"/>
          <w:bCs/>
          <w:kern w:val="0"/>
        </w:rPr>
        <w:t>科目</w:t>
      </w:r>
      <w:r w:rsidRPr="00C565BD">
        <w:rPr>
          <w:rFonts w:ascii="Calibri" w:hAnsi="Calibri" w:hint="eastAsia"/>
          <w:bCs/>
          <w:kern w:val="0"/>
        </w:rPr>
        <w:t>正式課程</w:t>
      </w:r>
      <w:r w:rsidR="000F0A59" w:rsidRPr="00C565BD">
        <w:rPr>
          <w:rFonts w:ascii="Calibri" w:hAnsi="Calibri" w:hint="eastAsia"/>
          <w:bCs/>
          <w:kern w:val="0"/>
        </w:rPr>
        <w:t>之外，</w:t>
      </w:r>
      <w:r w:rsidR="00921C5C" w:rsidRPr="00C565BD">
        <w:rPr>
          <w:rFonts w:ascii="Calibri" w:hAnsi="Calibri" w:hint="eastAsia"/>
          <w:bCs/>
          <w:kern w:val="0"/>
        </w:rPr>
        <w:t>議題</w:t>
      </w:r>
      <w:r w:rsidRPr="00C565BD">
        <w:rPr>
          <w:rFonts w:ascii="Calibri" w:hAnsi="Calibri" w:hint="eastAsia"/>
          <w:bCs/>
          <w:kern w:val="0"/>
        </w:rPr>
        <w:t>亦</w:t>
      </w:r>
      <w:r w:rsidR="00921C5C" w:rsidRPr="00C565BD">
        <w:rPr>
          <w:rFonts w:ascii="Calibri" w:hAnsi="Calibri" w:hint="eastAsia"/>
          <w:bCs/>
          <w:kern w:val="0"/>
        </w:rPr>
        <w:t>可融入或</w:t>
      </w:r>
      <w:r w:rsidRPr="00C565BD">
        <w:rPr>
          <w:rFonts w:ascii="Calibri" w:hAnsi="Calibri" w:hint="eastAsia"/>
          <w:bCs/>
          <w:kern w:val="0"/>
        </w:rPr>
        <w:t>開設</w:t>
      </w:r>
      <w:r w:rsidR="00921C5C" w:rsidRPr="00C565BD">
        <w:rPr>
          <w:rFonts w:ascii="Calibri" w:hAnsi="Calibri" w:hint="eastAsia"/>
          <w:bCs/>
          <w:kern w:val="0"/>
        </w:rPr>
        <w:t>為「校訂</w:t>
      </w:r>
      <w:r w:rsidRPr="00C565BD">
        <w:rPr>
          <w:rFonts w:ascii="Calibri" w:hAnsi="Calibri" w:hint="eastAsia"/>
          <w:bCs/>
          <w:kern w:val="0"/>
        </w:rPr>
        <w:t>必修</w:t>
      </w:r>
      <w:r w:rsidR="00921C5C" w:rsidRPr="00C565BD">
        <w:rPr>
          <w:rFonts w:ascii="Calibri" w:hAnsi="Calibri" w:hint="eastAsia"/>
          <w:bCs/>
          <w:kern w:val="0"/>
        </w:rPr>
        <w:t>」</w:t>
      </w:r>
      <w:r w:rsidRPr="00C565BD">
        <w:rPr>
          <w:rFonts w:ascii="Calibri" w:hAnsi="Calibri" w:hint="eastAsia"/>
          <w:bCs/>
          <w:kern w:val="0"/>
        </w:rPr>
        <w:t>或「選修」課程</w:t>
      </w:r>
      <w:r w:rsidR="00921C5C" w:rsidRPr="00C565BD">
        <w:rPr>
          <w:rFonts w:ascii="Calibri" w:hAnsi="Calibri" w:hint="eastAsia"/>
          <w:bCs/>
          <w:kern w:val="0"/>
        </w:rPr>
        <w:t>，</w:t>
      </w:r>
      <w:r w:rsidRPr="00C565BD">
        <w:rPr>
          <w:rFonts w:ascii="Calibri" w:hAnsi="Calibri" w:hint="eastAsia"/>
          <w:bCs/>
          <w:kern w:val="0"/>
        </w:rPr>
        <w:t>並檢視各科教材中可融入議題之單元，隨機融入相關社會時事進行討論、對話、批判與反思，增進學習品質。</w:t>
      </w:r>
    </w:p>
    <w:p w:rsidR="00921C5C" w:rsidRPr="00C565BD" w:rsidRDefault="001B4726" w:rsidP="001B4726">
      <w:pPr>
        <w:pStyle w:val="ad"/>
        <w:numPr>
          <w:ilvl w:val="0"/>
          <w:numId w:val="5"/>
        </w:numPr>
        <w:autoSpaceDE w:val="0"/>
        <w:autoSpaceDN w:val="0"/>
        <w:adjustRightInd w:val="0"/>
        <w:ind w:leftChars="0"/>
        <w:jc w:val="both"/>
        <w:rPr>
          <w:rFonts w:ascii="Calibri" w:hAnsi="Calibri"/>
          <w:bCs/>
          <w:kern w:val="0"/>
        </w:rPr>
      </w:pPr>
      <w:r w:rsidRPr="00C565BD">
        <w:rPr>
          <w:rFonts w:ascii="Calibri" w:hAnsi="Calibri"/>
          <w:b/>
          <w:bCs/>
          <w:kern w:val="0"/>
          <w:sz w:val="22"/>
        </w:rPr>
        <w:t>團體活動與彈性學習：</w:t>
      </w:r>
      <w:r w:rsidR="00921C5C" w:rsidRPr="00C565BD">
        <w:rPr>
          <w:rFonts w:ascii="Calibri" w:hAnsi="Calibri" w:hint="eastAsia"/>
          <w:bCs/>
          <w:kern w:val="0"/>
        </w:rPr>
        <w:t>議題可</w:t>
      </w:r>
      <w:r w:rsidRPr="00C565BD">
        <w:rPr>
          <w:rFonts w:ascii="Calibri" w:hAnsi="Calibri" w:hint="eastAsia"/>
          <w:bCs/>
          <w:kern w:val="0"/>
        </w:rPr>
        <w:t>融入班級活動、社團活動、學生自治活動、學生服務學習活動、週會或講座之「團體活動時間」，或是融入選手培訓、充實（增廣）</w:t>
      </w:r>
      <w:r w:rsidRPr="00C565BD">
        <w:rPr>
          <w:rFonts w:ascii="Calibri" w:hAnsi="Calibri"/>
          <w:bCs/>
          <w:kern w:val="0"/>
        </w:rPr>
        <w:t>/</w:t>
      </w:r>
      <w:r w:rsidRPr="00C565BD">
        <w:rPr>
          <w:rFonts w:ascii="Calibri" w:hAnsi="Calibri" w:hint="eastAsia"/>
          <w:bCs/>
          <w:kern w:val="0"/>
        </w:rPr>
        <w:t>補強性課程及學校特色活動之「彈性學習時間」</w:t>
      </w:r>
      <w:r w:rsidR="00921C5C" w:rsidRPr="00C565BD">
        <w:rPr>
          <w:rFonts w:ascii="Calibri" w:hAnsi="Calibri" w:hint="eastAsia"/>
          <w:bCs/>
          <w:kern w:val="0"/>
        </w:rPr>
        <w:t>進行。</w:t>
      </w:r>
      <w:bookmarkStart w:id="2" w:name="_Toc449455363"/>
    </w:p>
    <w:bookmarkEnd w:id="2"/>
    <w:p w:rsidR="00921C5C" w:rsidRDefault="00921C5C" w:rsidP="001B4726">
      <w:pPr>
        <w:pStyle w:val="ad"/>
        <w:numPr>
          <w:ilvl w:val="0"/>
          <w:numId w:val="5"/>
        </w:numPr>
        <w:autoSpaceDE w:val="0"/>
        <w:autoSpaceDN w:val="0"/>
        <w:adjustRightInd w:val="0"/>
        <w:ind w:leftChars="0"/>
        <w:jc w:val="both"/>
        <w:rPr>
          <w:rFonts w:ascii="Calibri" w:hAnsi="Calibri"/>
          <w:bCs/>
          <w:kern w:val="0"/>
        </w:rPr>
      </w:pPr>
      <w:r w:rsidRPr="00C565BD">
        <w:rPr>
          <w:rFonts w:ascii="Calibri" w:hAnsi="Calibri" w:hint="eastAsia"/>
          <w:b/>
          <w:bCs/>
          <w:kern w:val="0"/>
          <w:sz w:val="22"/>
        </w:rPr>
        <w:t>潛在課程</w:t>
      </w:r>
      <w:r w:rsidR="001B4726" w:rsidRPr="00C565BD">
        <w:rPr>
          <w:rFonts w:ascii="Calibri" w:hAnsi="Calibri" w:hint="eastAsia"/>
          <w:b/>
          <w:bCs/>
          <w:kern w:val="0"/>
          <w:sz w:val="22"/>
        </w:rPr>
        <w:t>：</w:t>
      </w:r>
      <w:r w:rsidRPr="00C565BD">
        <w:rPr>
          <w:rFonts w:ascii="Calibri" w:hAnsi="Calibri" w:hint="eastAsia"/>
          <w:bCs/>
          <w:kern w:val="0"/>
        </w:rPr>
        <w:t>可將議題相關</w:t>
      </w:r>
      <w:r w:rsidR="001B4726" w:rsidRPr="00C565BD">
        <w:rPr>
          <w:rFonts w:ascii="Calibri" w:hAnsi="Calibri" w:hint="eastAsia"/>
          <w:bCs/>
          <w:kern w:val="0"/>
        </w:rPr>
        <w:t>素</w:t>
      </w:r>
      <w:r w:rsidRPr="00C565BD">
        <w:rPr>
          <w:rFonts w:ascii="Calibri" w:hAnsi="Calibri" w:hint="eastAsia"/>
          <w:bCs/>
          <w:kern w:val="0"/>
        </w:rPr>
        <w:t>材布置</w:t>
      </w:r>
      <w:r w:rsidR="001B4726" w:rsidRPr="00C565BD">
        <w:rPr>
          <w:rFonts w:ascii="Calibri" w:hAnsi="Calibri" w:hint="eastAsia"/>
          <w:bCs/>
          <w:kern w:val="0"/>
        </w:rPr>
        <w:t>於校園及教室</w:t>
      </w:r>
      <w:r w:rsidRPr="00C565BD">
        <w:rPr>
          <w:rFonts w:ascii="Calibri" w:hAnsi="Calibri" w:hint="eastAsia"/>
          <w:bCs/>
          <w:kern w:val="0"/>
        </w:rPr>
        <w:t>環境中，產生境教效果</w:t>
      </w:r>
      <w:r w:rsidR="001B4726" w:rsidRPr="00C565BD">
        <w:rPr>
          <w:rFonts w:ascii="Calibri" w:hAnsi="Calibri" w:hint="eastAsia"/>
          <w:bCs/>
          <w:kern w:val="0"/>
        </w:rPr>
        <w:t>，</w:t>
      </w:r>
      <w:r w:rsidRPr="00C565BD">
        <w:rPr>
          <w:rFonts w:ascii="Calibri" w:hAnsi="Calibri" w:hint="eastAsia"/>
          <w:bCs/>
          <w:kern w:val="0"/>
        </w:rPr>
        <w:t>也可透過</w:t>
      </w:r>
      <w:r w:rsidR="006F4225" w:rsidRPr="00C565BD">
        <w:rPr>
          <w:rFonts w:ascii="Calibri" w:hAnsi="Calibri" w:hint="eastAsia"/>
          <w:bCs/>
          <w:kern w:val="0"/>
          <w:lang w:eastAsia="zh-HK"/>
        </w:rPr>
        <w:t>親師生身體力行</w:t>
      </w:r>
      <w:r w:rsidR="006F4225" w:rsidRPr="00C565BD">
        <w:rPr>
          <w:rFonts w:ascii="Calibri" w:hAnsi="Calibri" w:hint="eastAsia"/>
          <w:bCs/>
          <w:kern w:val="0"/>
        </w:rPr>
        <w:t>，</w:t>
      </w:r>
      <w:r w:rsidR="006F4225" w:rsidRPr="00C565BD">
        <w:rPr>
          <w:rFonts w:ascii="Calibri" w:hAnsi="Calibri" w:hint="eastAsia"/>
          <w:bCs/>
          <w:kern w:val="0"/>
          <w:lang w:eastAsia="zh-HK"/>
        </w:rPr>
        <w:t>形</w:t>
      </w:r>
      <w:r w:rsidR="006F4225" w:rsidRPr="00C565BD">
        <w:rPr>
          <w:rFonts w:ascii="Calibri" w:hAnsi="Calibri" w:hint="eastAsia"/>
          <w:bCs/>
          <w:kern w:val="0"/>
        </w:rPr>
        <w:t>塑</w:t>
      </w:r>
      <w:r w:rsidR="006F4225" w:rsidRPr="00C565BD">
        <w:rPr>
          <w:rFonts w:ascii="Calibri" w:hAnsi="Calibri" w:hint="eastAsia"/>
          <w:bCs/>
          <w:kern w:val="0"/>
          <w:lang w:eastAsia="zh-HK"/>
        </w:rPr>
        <w:t>楷模學習的共好</w:t>
      </w:r>
      <w:r w:rsidR="006F4225" w:rsidRPr="00C565BD">
        <w:rPr>
          <w:rFonts w:ascii="Calibri" w:hAnsi="Calibri" w:hint="eastAsia"/>
          <w:bCs/>
          <w:kern w:val="0"/>
        </w:rPr>
        <w:t>氛圍</w:t>
      </w:r>
      <w:r w:rsidR="005313CC" w:rsidRPr="00C565BD">
        <w:rPr>
          <w:rFonts w:ascii="Calibri" w:hAnsi="Calibri" w:hint="eastAsia"/>
          <w:bCs/>
          <w:kern w:val="0"/>
        </w:rPr>
        <w:t>；</w:t>
      </w:r>
      <w:r w:rsidR="001B4726" w:rsidRPr="00C565BD">
        <w:rPr>
          <w:rFonts w:ascii="Calibri" w:hAnsi="Calibri" w:hint="eastAsia"/>
          <w:bCs/>
          <w:kern w:val="0"/>
        </w:rPr>
        <w:t>甚</w:t>
      </w:r>
      <w:r w:rsidRPr="00C565BD">
        <w:rPr>
          <w:rFonts w:ascii="Calibri" w:hAnsi="Calibri" w:hint="eastAsia"/>
          <w:bCs/>
          <w:kern w:val="0"/>
        </w:rPr>
        <w:t>至可經由制度建立</w:t>
      </w:r>
      <w:r w:rsidR="001B4726" w:rsidRPr="00C565BD">
        <w:rPr>
          <w:rFonts w:ascii="Calibri" w:hAnsi="Calibri" w:hint="eastAsia"/>
          <w:bCs/>
          <w:kern w:val="0"/>
        </w:rPr>
        <w:t>或活動安排</w:t>
      </w:r>
      <w:r w:rsidRPr="00C565BD">
        <w:rPr>
          <w:rFonts w:ascii="Calibri" w:hAnsi="Calibri" w:hint="eastAsia"/>
          <w:bCs/>
          <w:kern w:val="0"/>
        </w:rPr>
        <w:t>，例如垃圾分類</w:t>
      </w:r>
      <w:r w:rsidR="00512C69" w:rsidRPr="00C565BD">
        <w:rPr>
          <w:rFonts w:ascii="Calibri" w:hAnsi="Calibri" w:hint="eastAsia"/>
          <w:bCs/>
          <w:kern w:val="0"/>
        </w:rPr>
        <w:t>、志工服務、愛心</w:t>
      </w:r>
      <w:r w:rsidRPr="00C565BD">
        <w:rPr>
          <w:rFonts w:ascii="Calibri" w:hAnsi="Calibri" w:hint="eastAsia"/>
          <w:bCs/>
          <w:kern w:val="0"/>
        </w:rPr>
        <w:t>捐款、機構參訪</w:t>
      </w:r>
      <w:r w:rsidR="00512C69" w:rsidRPr="00C565BD">
        <w:rPr>
          <w:rFonts w:ascii="Calibri" w:hAnsi="Calibri" w:hint="eastAsia"/>
          <w:bCs/>
          <w:kern w:val="0"/>
        </w:rPr>
        <w:t>、社會參與</w:t>
      </w:r>
      <w:r w:rsidRPr="00C565BD">
        <w:rPr>
          <w:rFonts w:ascii="Calibri" w:hAnsi="Calibri" w:hint="eastAsia"/>
          <w:bCs/>
          <w:kern w:val="0"/>
        </w:rPr>
        <w:t>等</w:t>
      </w:r>
      <w:r w:rsidRPr="001B4726">
        <w:rPr>
          <w:rFonts w:ascii="Calibri" w:hAnsi="Calibri" w:hint="eastAsia"/>
          <w:bCs/>
          <w:kern w:val="0"/>
        </w:rPr>
        <w:t>，產生潛移默化的效果。</w:t>
      </w:r>
    </w:p>
    <w:p w:rsidR="001E76EE" w:rsidRDefault="001E76EE">
      <w:pPr>
        <w:widowControl/>
        <w:rPr>
          <w:rFonts w:ascii="Calibri" w:hAnsi="Calibri"/>
          <w:bCs/>
          <w:kern w:val="0"/>
        </w:rPr>
      </w:pPr>
    </w:p>
    <w:sectPr w:rsidR="001E76EE" w:rsidSect="00A816C9">
      <w:headerReference w:type="default" r:id="rId12"/>
      <w:footerReference w:type="default" r:id="rId13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0411" w:rsidRDefault="00090411" w:rsidP="00057A25">
      <w:r>
        <w:separator/>
      </w:r>
    </w:p>
  </w:endnote>
  <w:endnote w:type="continuationSeparator" w:id="0">
    <w:p w:rsidR="00090411" w:rsidRDefault="00090411" w:rsidP="00057A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NewInnMing-Light">
    <w:altName w:val="Microsoft JhengHei U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InnMing-Bold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璅扑擃?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531770"/>
      <w:docPartObj>
        <w:docPartGallery w:val="Page Numbers (Bottom of Page)"/>
        <w:docPartUnique/>
      </w:docPartObj>
    </w:sdtPr>
    <w:sdtEndPr/>
    <w:sdtContent>
      <w:p w:rsidR="00BB02EA" w:rsidRDefault="006848BC">
        <w:pPr>
          <w:pStyle w:val="a5"/>
          <w:jc w:val="center"/>
        </w:pPr>
        <w:r>
          <w:fldChar w:fldCharType="begin"/>
        </w:r>
        <w:r w:rsidR="00BB02EA">
          <w:instrText xml:space="preserve"> PAGE   \* MERGEFORMAT </w:instrText>
        </w:r>
        <w:r>
          <w:fldChar w:fldCharType="separate"/>
        </w:r>
        <w:r w:rsidR="00477C27" w:rsidRPr="00477C27">
          <w:rPr>
            <w:noProof/>
            <w:lang w:val="zh-TW"/>
          </w:rPr>
          <w:t>7</w:t>
        </w:r>
        <w:r>
          <w:rPr>
            <w:noProof/>
            <w:lang w:val="zh-TW"/>
          </w:rPr>
          <w:fldChar w:fldCharType="end"/>
        </w:r>
      </w:p>
    </w:sdtContent>
  </w:sdt>
  <w:p w:rsidR="00BB02EA" w:rsidRDefault="00BB02E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0411" w:rsidRDefault="00090411" w:rsidP="00057A25">
      <w:r>
        <w:separator/>
      </w:r>
    </w:p>
  </w:footnote>
  <w:footnote w:type="continuationSeparator" w:id="0">
    <w:p w:rsidR="00090411" w:rsidRDefault="00090411" w:rsidP="00057A25">
      <w:r>
        <w:continuationSeparator/>
      </w:r>
    </w:p>
  </w:footnote>
  <w:footnote w:id="1">
    <w:p w:rsidR="00BB02EA" w:rsidRPr="002E0CA3" w:rsidRDefault="00BB02EA" w:rsidP="002E0CA3">
      <w:pPr>
        <w:autoSpaceDE w:val="0"/>
        <w:autoSpaceDN w:val="0"/>
        <w:adjustRightInd w:val="0"/>
        <w:ind w:left="142" w:hangingChars="59" w:hanging="142"/>
        <w:rPr>
          <w:rFonts w:ascii="新細明體" w:hAnsi="新細明體"/>
          <w:sz w:val="20"/>
          <w:szCs w:val="20"/>
        </w:rPr>
      </w:pPr>
      <w:r>
        <w:rPr>
          <w:rStyle w:val="ac"/>
        </w:rPr>
        <w:footnoteRef/>
      </w:r>
      <w:r>
        <w:rPr>
          <w:rFonts w:asciiTheme="minorEastAsia" w:hAnsiTheme="minorEastAsia" w:cs="NewInnMing-Light" w:hint="eastAsia"/>
          <w:kern w:val="0"/>
          <w:sz w:val="20"/>
          <w:szCs w:val="20"/>
        </w:rPr>
        <w:t xml:space="preserve"> 國際</w:t>
      </w:r>
      <w:r w:rsidR="00FD4A0B">
        <w:rPr>
          <w:rFonts w:asciiTheme="minorEastAsia" w:hAnsiTheme="minorEastAsia" w:cs="NewInnMing-Light" w:hint="eastAsia"/>
          <w:kern w:val="0"/>
          <w:sz w:val="20"/>
          <w:szCs w:val="20"/>
        </w:rPr>
        <w:t>方面</w:t>
      </w:r>
      <w:r>
        <w:rPr>
          <w:rFonts w:asciiTheme="minorEastAsia" w:hAnsiTheme="minorEastAsia" w:cs="NewInnMing-Light" w:hint="eastAsia"/>
          <w:kern w:val="0"/>
          <w:sz w:val="20"/>
          <w:szCs w:val="20"/>
        </w:rPr>
        <w:t>，</w:t>
      </w:r>
      <w:r w:rsidRPr="000773FB">
        <w:rPr>
          <w:rFonts w:asciiTheme="minorEastAsia" w:hAnsiTheme="minorEastAsia" w:cs="NewInnMing-Light" w:hint="eastAsia"/>
          <w:kern w:val="0"/>
          <w:sz w:val="20"/>
          <w:szCs w:val="20"/>
        </w:rPr>
        <w:t>聯合國教科文組織（UNESCO）</w:t>
      </w:r>
      <w:r w:rsidRPr="000773FB">
        <w:rPr>
          <w:rFonts w:ascii="新細明體" w:hAnsi="新細明體"/>
          <w:sz w:val="20"/>
          <w:szCs w:val="20"/>
        </w:rPr>
        <w:t>於1996年和2003提出學會求知、學會做事、學會共處、學會</w:t>
      </w:r>
      <w:r w:rsidRPr="000773FB">
        <w:rPr>
          <w:rFonts w:ascii="新細明體" w:hAnsi="新細明體" w:hint="eastAsia"/>
          <w:sz w:val="20"/>
          <w:szCs w:val="20"/>
        </w:rPr>
        <w:t>自處</w:t>
      </w:r>
      <w:r w:rsidRPr="000773FB">
        <w:rPr>
          <w:rFonts w:ascii="新細明體" w:hAnsi="新細明體"/>
          <w:sz w:val="20"/>
          <w:szCs w:val="20"/>
        </w:rPr>
        <w:t>以及學會改變</w:t>
      </w:r>
      <w:r w:rsidRPr="000773FB">
        <w:rPr>
          <w:rFonts w:ascii="新細明體" w:hAnsi="新細明體" w:hint="eastAsia"/>
          <w:sz w:val="20"/>
          <w:szCs w:val="20"/>
        </w:rPr>
        <w:t>等</w:t>
      </w:r>
      <w:r w:rsidRPr="000773FB">
        <w:rPr>
          <w:rFonts w:ascii="新細明體" w:hAnsi="新細明體"/>
          <w:sz w:val="20"/>
          <w:szCs w:val="20"/>
        </w:rPr>
        <w:t>五大支柱。</w:t>
      </w:r>
      <w:r w:rsidRPr="000773FB">
        <w:rPr>
          <w:rFonts w:asciiTheme="minorEastAsia" w:hAnsiTheme="minorEastAsia" w:cs="NewInnMing-Light" w:hint="eastAsia"/>
          <w:kern w:val="0"/>
          <w:sz w:val="20"/>
          <w:szCs w:val="20"/>
        </w:rPr>
        <w:t>歐盟（EU）</w:t>
      </w:r>
      <w:r w:rsidRPr="000773FB">
        <w:rPr>
          <w:rFonts w:ascii="新細明體" w:hAnsi="新細明體"/>
          <w:sz w:val="20"/>
          <w:szCs w:val="20"/>
        </w:rPr>
        <w:t>於2005年提出母語溝通、外語溝通、數學</w:t>
      </w:r>
      <w:r w:rsidRPr="000773FB">
        <w:rPr>
          <w:rFonts w:ascii="新細明體" w:hAnsi="新細明體" w:hint="eastAsia"/>
          <w:sz w:val="20"/>
          <w:szCs w:val="20"/>
        </w:rPr>
        <w:t>與</w:t>
      </w:r>
      <w:r w:rsidRPr="000773FB">
        <w:rPr>
          <w:rFonts w:ascii="新細明體" w:hAnsi="新細明體"/>
          <w:sz w:val="20"/>
          <w:szCs w:val="20"/>
        </w:rPr>
        <w:t>基本科技</w:t>
      </w:r>
      <w:r w:rsidRPr="000773FB">
        <w:rPr>
          <w:rFonts w:asciiTheme="minorEastAsia" w:hAnsiTheme="minorEastAsia" w:hint="eastAsia"/>
          <w:sz w:val="20"/>
          <w:szCs w:val="20"/>
        </w:rPr>
        <w:t>素養、</w:t>
      </w:r>
      <w:r w:rsidRPr="000773FB">
        <w:rPr>
          <w:rFonts w:ascii="新細明體" w:hAnsi="新細明體"/>
          <w:sz w:val="20"/>
          <w:szCs w:val="20"/>
        </w:rPr>
        <w:t>數位素養、學習如何學習、人際</w:t>
      </w:r>
      <w:r w:rsidRPr="000773FB">
        <w:rPr>
          <w:rFonts w:asciiTheme="minorEastAsia" w:hAnsiTheme="minorEastAsia" w:hint="eastAsia"/>
          <w:sz w:val="20"/>
          <w:szCs w:val="20"/>
        </w:rPr>
        <w:t>及</w:t>
      </w:r>
      <w:r w:rsidRPr="000773FB">
        <w:rPr>
          <w:rFonts w:ascii="新細明體" w:hAnsi="新細明體"/>
          <w:sz w:val="20"/>
          <w:szCs w:val="20"/>
        </w:rPr>
        <w:t>跨文化與社會</w:t>
      </w:r>
      <w:r w:rsidRPr="000773FB">
        <w:rPr>
          <w:rFonts w:asciiTheme="minorEastAsia" w:hAnsiTheme="minorEastAsia" w:hint="eastAsia"/>
          <w:sz w:val="20"/>
          <w:szCs w:val="20"/>
        </w:rPr>
        <w:t>和</w:t>
      </w:r>
      <w:r w:rsidRPr="000773FB">
        <w:rPr>
          <w:rFonts w:ascii="新細明體" w:hAnsi="新細明體"/>
          <w:sz w:val="20"/>
          <w:szCs w:val="20"/>
        </w:rPr>
        <w:t>公民素養、創業家精神、文化表達</w:t>
      </w:r>
      <w:r w:rsidRPr="000773FB">
        <w:rPr>
          <w:rFonts w:ascii="新細明體" w:hAnsi="新細明體" w:hint="eastAsia"/>
          <w:sz w:val="20"/>
          <w:szCs w:val="20"/>
        </w:rPr>
        <w:t>等</w:t>
      </w:r>
      <w:r w:rsidRPr="000773FB">
        <w:rPr>
          <w:rFonts w:ascii="新細明體" w:hAnsi="新細明體"/>
          <w:sz w:val="20"/>
          <w:szCs w:val="20"/>
        </w:rPr>
        <w:t>八項核心素養</w:t>
      </w:r>
      <w:r w:rsidRPr="000773FB">
        <w:rPr>
          <w:rFonts w:ascii="新細明體" w:hAnsi="新細明體" w:hint="eastAsia"/>
          <w:sz w:val="20"/>
          <w:szCs w:val="20"/>
        </w:rPr>
        <w:t>內容。</w:t>
      </w:r>
      <w:r w:rsidRPr="000773FB">
        <w:rPr>
          <w:rFonts w:ascii="新細明體" w:hAnsi="新細明體"/>
          <w:sz w:val="20"/>
          <w:szCs w:val="20"/>
        </w:rPr>
        <w:t>經濟合作與發展組織（OECD）於2005年提出的</w:t>
      </w:r>
      <w:r w:rsidRPr="000773FB">
        <w:rPr>
          <w:rFonts w:asciiTheme="minorEastAsia" w:hAnsiTheme="minorEastAsia" w:hint="eastAsia"/>
          <w:sz w:val="20"/>
          <w:szCs w:val="20"/>
        </w:rPr>
        <w:t>自律</w:t>
      </w:r>
      <w:r w:rsidRPr="000773FB">
        <w:rPr>
          <w:rFonts w:ascii="新細明體" w:hAnsi="新細明體"/>
          <w:sz w:val="20"/>
          <w:szCs w:val="20"/>
        </w:rPr>
        <w:t>自主</w:t>
      </w:r>
      <w:r w:rsidRPr="000773FB">
        <w:rPr>
          <w:rFonts w:asciiTheme="minorEastAsia" w:hAnsiTheme="minorEastAsia" w:hint="eastAsia"/>
          <w:sz w:val="20"/>
          <w:szCs w:val="20"/>
        </w:rPr>
        <w:t>的</w:t>
      </w:r>
      <w:r w:rsidRPr="000773FB">
        <w:rPr>
          <w:rFonts w:ascii="新細明體" w:hAnsi="新細明體"/>
          <w:sz w:val="20"/>
          <w:szCs w:val="20"/>
        </w:rPr>
        <w:t>行動</w:t>
      </w:r>
      <w:r w:rsidRPr="000773FB">
        <w:rPr>
          <w:rFonts w:asciiTheme="minorEastAsia" w:hAnsiTheme="minorEastAsia" w:hint="eastAsia"/>
          <w:sz w:val="20"/>
          <w:szCs w:val="20"/>
        </w:rPr>
        <w:t>、</w:t>
      </w:r>
      <w:r w:rsidRPr="000773FB">
        <w:rPr>
          <w:rFonts w:ascii="新細明體" w:hAnsi="新細明體"/>
          <w:sz w:val="20"/>
          <w:szCs w:val="20"/>
        </w:rPr>
        <w:t>互動</w:t>
      </w:r>
      <w:r w:rsidRPr="000773FB">
        <w:rPr>
          <w:rFonts w:asciiTheme="minorEastAsia" w:hAnsiTheme="minorEastAsia" w:hint="eastAsia"/>
          <w:sz w:val="20"/>
          <w:szCs w:val="20"/>
        </w:rPr>
        <w:t>的</w:t>
      </w:r>
      <w:r w:rsidRPr="000773FB">
        <w:rPr>
          <w:rFonts w:ascii="新細明體" w:hAnsi="新細明體"/>
          <w:sz w:val="20"/>
          <w:szCs w:val="20"/>
        </w:rPr>
        <w:t>運用工具</w:t>
      </w:r>
      <w:r w:rsidRPr="000773FB">
        <w:rPr>
          <w:rFonts w:asciiTheme="minorEastAsia" w:hAnsiTheme="minorEastAsia" w:hint="eastAsia"/>
          <w:sz w:val="20"/>
          <w:szCs w:val="20"/>
        </w:rPr>
        <w:t>溝通</w:t>
      </w:r>
      <w:r w:rsidRPr="000773FB">
        <w:rPr>
          <w:rFonts w:ascii="新細明體" w:hAnsi="新細明體"/>
          <w:sz w:val="20"/>
          <w:szCs w:val="20"/>
        </w:rPr>
        <w:t>、</w:t>
      </w:r>
      <w:r w:rsidRPr="000773FB">
        <w:rPr>
          <w:rFonts w:asciiTheme="minorEastAsia" w:hAnsiTheme="minorEastAsia" w:hint="eastAsia"/>
          <w:sz w:val="20"/>
          <w:szCs w:val="20"/>
        </w:rPr>
        <w:t>與</w:t>
      </w:r>
      <w:r w:rsidRPr="000773FB">
        <w:rPr>
          <w:rFonts w:ascii="新細明體" w:hAnsi="新細明體"/>
          <w:sz w:val="20"/>
          <w:szCs w:val="20"/>
        </w:rPr>
        <w:t>異質性團體互動等</w:t>
      </w:r>
      <w:r w:rsidRPr="000773FB">
        <w:rPr>
          <w:rFonts w:ascii="新細明體" w:hAnsi="新細明體" w:hint="eastAsia"/>
          <w:sz w:val="20"/>
          <w:szCs w:val="20"/>
        </w:rPr>
        <w:t>三大</w:t>
      </w:r>
      <w:r w:rsidRPr="000773FB">
        <w:rPr>
          <w:rFonts w:ascii="新細明體" w:hAnsi="新細明體"/>
          <w:sz w:val="20"/>
          <w:szCs w:val="20"/>
        </w:rPr>
        <w:t>核心素養</w:t>
      </w:r>
      <w:r w:rsidRPr="000773FB">
        <w:rPr>
          <w:rFonts w:ascii="新細明體" w:hAnsi="新細明體" w:hint="eastAsia"/>
          <w:sz w:val="20"/>
          <w:szCs w:val="20"/>
        </w:rPr>
        <w:t>等等</w:t>
      </w:r>
      <w:r w:rsidRPr="000773FB">
        <w:rPr>
          <w:rFonts w:asciiTheme="minorEastAsia" w:hAnsiTheme="minorEastAsia" w:cs="NewInnMing-Light" w:hint="eastAsia"/>
          <w:kern w:val="0"/>
          <w:sz w:val="20"/>
          <w:szCs w:val="20"/>
        </w:rPr>
        <w:t>。國內</w:t>
      </w:r>
      <w:r w:rsidR="00FD4A0B">
        <w:rPr>
          <w:rFonts w:asciiTheme="minorEastAsia" w:hAnsiTheme="minorEastAsia" w:cs="NewInnMing-Light" w:hint="eastAsia"/>
          <w:kern w:val="0"/>
          <w:sz w:val="20"/>
          <w:szCs w:val="20"/>
        </w:rPr>
        <w:t>方面</w:t>
      </w:r>
      <w:r>
        <w:rPr>
          <w:rFonts w:asciiTheme="minorEastAsia" w:hAnsiTheme="minorEastAsia" w:cs="NewInnMing-Light" w:hint="eastAsia"/>
          <w:kern w:val="0"/>
          <w:sz w:val="20"/>
          <w:szCs w:val="20"/>
        </w:rPr>
        <w:t>，</w:t>
      </w:r>
      <w:r w:rsidRPr="000773FB">
        <w:rPr>
          <w:rFonts w:asciiTheme="minorEastAsia" w:hAnsiTheme="minorEastAsia" w:cs="NewInnMing-Light" w:hint="eastAsia"/>
          <w:kern w:val="0"/>
          <w:sz w:val="20"/>
          <w:szCs w:val="20"/>
        </w:rPr>
        <w:t>柯華葳等人在2005年接受教育部委託的「18歲學生應具備基本能力研究」，洪裕宏等人於2005年至2007年的行政院國家科學委員會「界定與選擇國民核心素養：概念參考架構與理論基礎研究」整合型專題計畫。</w:t>
      </w:r>
      <w:r w:rsidRPr="002E0CA3">
        <w:rPr>
          <w:rFonts w:ascii="新細明體" w:hAnsi="新細明體" w:hint="eastAsia"/>
          <w:sz w:val="20"/>
          <w:szCs w:val="20"/>
        </w:rPr>
        <w:t>陳伯璋、張新仁、蔡清田及潘慧玲（2007）</w:t>
      </w:r>
      <w:r>
        <w:rPr>
          <w:rFonts w:ascii="新細明體" w:hAnsi="新細明體" w:hint="eastAsia"/>
          <w:sz w:val="20"/>
          <w:szCs w:val="20"/>
        </w:rPr>
        <w:t>則</w:t>
      </w:r>
      <w:r w:rsidRPr="002E0CA3">
        <w:rPr>
          <w:rFonts w:ascii="新細明體" w:hAnsi="新細明體" w:hint="eastAsia"/>
          <w:sz w:val="20"/>
          <w:szCs w:val="20"/>
        </w:rPr>
        <w:t>將</w:t>
      </w:r>
      <w:r>
        <w:rPr>
          <w:rFonts w:ascii="新細明體" w:hAnsi="新細明體" w:hint="eastAsia"/>
          <w:sz w:val="20"/>
          <w:szCs w:val="20"/>
        </w:rPr>
        <w:t>上述</w:t>
      </w:r>
      <w:r w:rsidRPr="002E0CA3">
        <w:rPr>
          <w:rFonts w:ascii="新細明體" w:hAnsi="新細明體" w:hint="eastAsia"/>
          <w:sz w:val="20"/>
          <w:szCs w:val="20"/>
        </w:rPr>
        <w:t>國民核心素養之理念與架構運用於教育研究領域中。</w:t>
      </w:r>
      <w:r>
        <w:rPr>
          <w:rFonts w:ascii="新細明體" w:hAnsi="新細明體" w:hint="eastAsia"/>
          <w:sz w:val="20"/>
          <w:szCs w:val="20"/>
        </w:rPr>
        <w:t>後續，</w:t>
      </w:r>
      <w:r w:rsidRPr="002E0CA3">
        <w:rPr>
          <w:rFonts w:ascii="新細明體" w:hAnsi="新細明體"/>
          <w:sz w:val="20"/>
          <w:szCs w:val="20"/>
        </w:rPr>
        <w:t>國教院委</w:t>
      </w:r>
      <w:r>
        <w:rPr>
          <w:rFonts w:ascii="新細明體" w:hAnsi="新細明體"/>
          <w:sz w:val="20"/>
          <w:szCs w:val="20"/>
        </w:rPr>
        <w:t>由</w:t>
      </w:r>
      <w:r w:rsidRPr="002E0CA3">
        <w:rPr>
          <w:rFonts w:ascii="新細明體" w:hAnsi="新細明體"/>
          <w:sz w:val="20"/>
          <w:szCs w:val="20"/>
        </w:rPr>
        <w:t>蔡清田</w:t>
      </w:r>
      <w:r w:rsidRPr="002E0CA3">
        <w:rPr>
          <w:rFonts w:ascii="新細明體" w:hAnsi="新細明體" w:hint="eastAsia"/>
          <w:sz w:val="20"/>
          <w:szCs w:val="20"/>
        </w:rPr>
        <w:t>、林永豐等人</w:t>
      </w:r>
      <w:r w:rsidRPr="002E0CA3">
        <w:rPr>
          <w:rFonts w:ascii="新細明體" w:hAnsi="新細明體"/>
          <w:sz w:val="20"/>
          <w:szCs w:val="20"/>
        </w:rPr>
        <w:t>於2011</w:t>
      </w:r>
      <w:r w:rsidRPr="002E0CA3">
        <w:rPr>
          <w:rFonts w:ascii="新細明體" w:hAnsi="新細明體" w:hint="eastAsia"/>
          <w:sz w:val="20"/>
          <w:szCs w:val="20"/>
        </w:rPr>
        <w:t>至</w:t>
      </w:r>
      <w:r w:rsidRPr="002E0CA3">
        <w:rPr>
          <w:rFonts w:ascii="新細明體" w:hAnsi="新細明體"/>
          <w:sz w:val="20"/>
          <w:szCs w:val="20"/>
        </w:rPr>
        <w:t>201</w:t>
      </w:r>
      <w:r w:rsidRPr="002E0CA3">
        <w:rPr>
          <w:rFonts w:ascii="新細明體" w:hAnsi="新細明體" w:hint="eastAsia"/>
          <w:sz w:val="20"/>
          <w:szCs w:val="20"/>
        </w:rPr>
        <w:t>3</w:t>
      </w:r>
      <w:r w:rsidRPr="002E0CA3">
        <w:rPr>
          <w:rFonts w:ascii="新細明體" w:hAnsi="新細明體"/>
          <w:sz w:val="20"/>
          <w:szCs w:val="20"/>
        </w:rPr>
        <w:t>年</w:t>
      </w:r>
      <w:r w:rsidRPr="002E0CA3">
        <w:rPr>
          <w:rFonts w:ascii="新細明體" w:hAnsi="新細明體" w:hint="eastAsia"/>
          <w:sz w:val="20"/>
          <w:szCs w:val="20"/>
        </w:rPr>
        <w:t>期間進行</w:t>
      </w:r>
      <w:r w:rsidRPr="002E0CA3">
        <w:rPr>
          <w:rFonts w:ascii="新細明體" w:hAnsi="新細明體"/>
          <w:sz w:val="20"/>
          <w:szCs w:val="20"/>
        </w:rPr>
        <w:t>核心素養</w:t>
      </w:r>
      <w:r w:rsidRPr="002E0CA3">
        <w:rPr>
          <w:rFonts w:ascii="新細明體" w:hAnsi="新細明體" w:hint="eastAsia"/>
          <w:sz w:val="20"/>
          <w:szCs w:val="20"/>
        </w:rPr>
        <w:t>相關研究，進而主持撰寫「十二</w:t>
      </w:r>
      <w:r w:rsidRPr="002E0CA3">
        <w:rPr>
          <w:rFonts w:ascii="新細明體" w:hAnsi="新細明體"/>
          <w:sz w:val="20"/>
          <w:szCs w:val="20"/>
        </w:rPr>
        <w:t>年</w:t>
      </w:r>
      <w:r w:rsidRPr="002E0CA3">
        <w:rPr>
          <w:rFonts w:ascii="新細明體" w:hAnsi="新細明體" w:hint="eastAsia"/>
          <w:sz w:val="20"/>
          <w:szCs w:val="20"/>
        </w:rPr>
        <w:t>國民基本教育</w:t>
      </w:r>
      <w:r w:rsidRPr="002E0CA3">
        <w:rPr>
          <w:rFonts w:ascii="新細明體" w:hAnsi="新細明體"/>
          <w:sz w:val="20"/>
          <w:szCs w:val="20"/>
        </w:rPr>
        <w:t>課程體系</w:t>
      </w:r>
      <w:r w:rsidRPr="002E0CA3">
        <w:rPr>
          <w:rFonts w:ascii="新細明體" w:hAnsi="新細明體" w:hint="eastAsia"/>
          <w:sz w:val="20"/>
          <w:szCs w:val="20"/>
        </w:rPr>
        <w:t>發展</w:t>
      </w:r>
      <w:r w:rsidRPr="002E0CA3">
        <w:rPr>
          <w:rFonts w:ascii="新細明體" w:hAnsi="新細明體"/>
          <w:sz w:val="20"/>
          <w:szCs w:val="20"/>
        </w:rPr>
        <w:t>指引</w:t>
      </w:r>
      <w:r w:rsidRPr="002E0CA3">
        <w:rPr>
          <w:rFonts w:ascii="新細明體" w:hAnsi="新細明體" w:hint="eastAsia"/>
          <w:sz w:val="20"/>
          <w:szCs w:val="20"/>
        </w:rPr>
        <w:t>」。</w:t>
      </w:r>
    </w:p>
  </w:footnote>
  <w:footnote w:id="2">
    <w:p w:rsidR="00FD4A0B" w:rsidRDefault="00FD4A0B" w:rsidP="00FD4A0B">
      <w:pPr>
        <w:pStyle w:val="aa"/>
        <w:spacing w:beforeLines="50" w:before="180"/>
      </w:pPr>
      <w:r>
        <w:rPr>
          <w:rStyle w:val="ac"/>
        </w:rPr>
        <w:footnoteRef/>
      </w:r>
      <w:r>
        <w:rPr>
          <w:rFonts w:ascii="新細明體" w:hAnsi="新細明體" w:cs="NewInnMing-Light" w:hint="eastAsia"/>
          <w:kern w:val="0"/>
        </w:rPr>
        <w:t xml:space="preserve"> 參見：</w:t>
      </w:r>
      <w:r w:rsidRPr="002A04FA">
        <w:rPr>
          <w:rFonts w:ascii="新細明體" w:hAnsi="新細明體" w:cs="NewInnMing-Light" w:hint="eastAsia"/>
          <w:kern w:val="0"/>
        </w:rPr>
        <w:t>蔡清田（2014）。</w:t>
      </w:r>
      <w:r w:rsidRPr="002A04FA">
        <w:rPr>
          <w:rFonts w:ascii="新細明體" w:hAnsi="新細明體" w:cs="NewInnMing-Light" w:hint="eastAsia"/>
          <w:b/>
          <w:kern w:val="0"/>
        </w:rPr>
        <w:t>國民核心素養：十二年國教課程改革的DNA</w:t>
      </w:r>
      <w:r w:rsidRPr="002A04FA">
        <w:rPr>
          <w:rFonts w:ascii="新細明體" w:hAnsi="新細明體" w:cs="NewInnMing-Light" w:hint="eastAsia"/>
          <w:kern w:val="0"/>
        </w:rPr>
        <w:t>。臺北：高等教育。</w:t>
      </w:r>
    </w:p>
  </w:footnote>
  <w:footnote w:id="3">
    <w:p w:rsidR="0080577E" w:rsidRDefault="0080577E" w:rsidP="0080577E">
      <w:pPr>
        <w:pStyle w:val="aa"/>
        <w:ind w:left="168" w:hangingChars="84" w:hanging="168"/>
      </w:pPr>
      <w:r>
        <w:rPr>
          <w:rStyle w:val="ac"/>
        </w:rPr>
        <w:footnoteRef/>
      </w:r>
      <w:r>
        <w:rPr>
          <w:rFonts w:asciiTheme="minorEastAsia" w:hAnsiTheme="minorEastAsia" w:hint="eastAsia"/>
        </w:rPr>
        <w:t xml:space="preserve"> </w:t>
      </w:r>
      <w:r w:rsidRPr="00985372">
        <w:rPr>
          <w:rFonts w:asciiTheme="minorEastAsia" w:hAnsiTheme="minorEastAsia" w:hint="eastAsia"/>
        </w:rPr>
        <w:t>例</w:t>
      </w:r>
      <w:r>
        <w:rPr>
          <w:rFonts w:asciiTheme="minorEastAsia" w:hAnsiTheme="minorEastAsia" w:hint="eastAsia"/>
        </w:rPr>
        <w:t>如</w:t>
      </w:r>
      <w:r w:rsidRPr="00985372">
        <w:rPr>
          <w:rFonts w:asciiTheme="minorEastAsia" w:hAnsiTheme="minorEastAsia" w:hint="eastAsia"/>
        </w:rPr>
        <w:t>，「藝術涵養與美感素養」固然與藝術領域緊密關連，但它亦可透過語文課文賞析、數學幾何運用、自然生態觀察、社會文史實察或公民參與等等而獲致；它是透過各領域、各階段的課程及教學設計而習得。</w:t>
      </w:r>
    </w:p>
  </w:footnote>
  <w:footnote w:id="4">
    <w:p w:rsidR="00BB02EA" w:rsidRPr="00B300F4" w:rsidRDefault="00BB02EA" w:rsidP="005313CC">
      <w:pPr>
        <w:pStyle w:val="aa"/>
        <w:spacing w:beforeLines="50" w:before="180"/>
        <w:ind w:left="168" w:hangingChars="84" w:hanging="168"/>
        <w:rPr>
          <w:rFonts w:asciiTheme="minorEastAsia" w:hAnsiTheme="minorEastAsia"/>
        </w:rPr>
      </w:pPr>
      <w:r>
        <w:rPr>
          <w:rStyle w:val="ac"/>
        </w:rPr>
        <w:footnoteRef/>
      </w:r>
      <w:r>
        <w:rPr>
          <w:rFonts w:asciiTheme="minorEastAsia" w:hAnsiTheme="minorEastAsia" w:hint="eastAsia"/>
        </w:rPr>
        <w:t xml:space="preserve"> 十二年國教課綱的「</w:t>
      </w:r>
      <w:r w:rsidRPr="002E194B">
        <w:rPr>
          <w:rFonts w:asciiTheme="minorEastAsia" w:hAnsiTheme="minorEastAsia" w:hint="eastAsia"/>
        </w:rPr>
        <w:t>學習重點</w:t>
      </w:r>
      <w:r>
        <w:rPr>
          <w:rFonts w:asciiTheme="minorEastAsia" w:hAnsiTheme="minorEastAsia" w:hint="eastAsia"/>
        </w:rPr>
        <w:t>」</w:t>
      </w:r>
      <w:r w:rsidRPr="002E194B">
        <w:rPr>
          <w:rFonts w:asciiTheme="minorEastAsia" w:hAnsiTheme="minorEastAsia" w:hint="eastAsia"/>
        </w:rPr>
        <w:t>分成「學習內容」及「學習表現」兩個層面。</w:t>
      </w:r>
      <w:r w:rsidRPr="00901654">
        <w:rPr>
          <w:rFonts w:asciiTheme="minorEastAsia" w:hAnsiTheme="minorEastAsia" w:hint="eastAsia"/>
        </w:rPr>
        <w:t>「學習內容」比較偏向學習素材部分，「學習表現」比較偏向認知歷程、行動能力、態度的部分，二者並不是此次課綱的新創，現行高中課綱就包含教材綱要、核心能力等，但通常大家都只看教材綱要而忽視了核心能力。新課綱以「學習重點」進行整合，需將「學習內容」與「學習表現」結合編織在一起，構築完整的學習。</w:t>
      </w:r>
    </w:p>
  </w:footnote>
  <w:footnote w:id="5">
    <w:p w:rsidR="00297A31" w:rsidRDefault="00297A31" w:rsidP="00297A31">
      <w:pPr>
        <w:pStyle w:val="aa"/>
      </w:pPr>
      <w:r>
        <w:rPr>
          <w:rStyle w:val="ac"/>
        </w:rPr>
        <w:footnoteRef/>
      </w:r>
      <w:r>
        <w:t xml:space="preserve"> </w:t>
      </w:r>
      <w:r>
        <w:rPr>
          <w:rFonts w:hint="eastAsia"/>
        </w:rPr>
        <w:t>參見：國家教育研究院（</w:t>
      </w:r>
      <w:r>
        <w:rPr>
          <w:rFonts w:hint="eastAsia"/>
        </w:rPr>
        <w:t>2014</w:t>
      </w:r>
      <w:r>
        <w:rPr>
          <w:rFonts w:hint="eastAsia"/>
        </w:rPr>
        <w:t>）。</w:t>
      </w:r>
      <w:r w:rsidRPr="00F922F4">
        <w:rPr>
          <w:rFonts w:hint="eastAsia"/>
        </w:rPr>
        <w:t>十二年國民基本教育課程發展指引</w:t>
      </w:r>
      <w:r>
        <w:rPr>
          <w:rFonts w:hint="eastAsia"/>
        </w:rPr>
        <w:t>。</w:t>
      </w:r>
    </w:p>
  </w:footnote>
  <w:footnote w:id="6">
    <w:p w:rsidR="00297A31" w:rsidRDefault="00297A31" w:rsidP="00297A31">
      <w:pPr>
        <w:pStyle w:val="aa"/>
        <w:ind w:left="784" w:hangingChars="392" w:hanging="784"/>
      </w:pPr>
      <w:r>
        <w:rPr>
          <w:rStyle w:val="ac"/>
        </w:rPr>
        <w:footnoteRef/>
      </w:r>
      <w:r>
        <w:t xml:space="preserve"> </w:t>
      </w:r>
      <w:r>
        <w:rPr>
          <w:rFonts w:hint="eastAsia"/>
        </w:rPr>
        <w:t>參見：賴麗珍譯，</w:t>
      </w:r>
      <w:r w:rsidRPr="00FA287F">
        <w:rPr>
          <w:rFonts w:asciiTheme="minorEastAsia" w:hAnsiTheme="minorEastAsia"/>
        </w:rPr>
        <w:t xml:space="preserve">Wiggins, </w:t>
      </w:r>
      <w:r w:rsidRPr="00FA287F">
        <w:rPr>
          <w:rFonts w:asciiTheme="minorEastAsia" w:hAnsiTheme="minorEastAsia" w:hint="eastAsia"/>
        </w:rPr>
        <w:t>G</w:t>
      </w:r>
      <w:r w:rsidRPr="00FA287F">
        <w:rPr>
          <w:rFonts w:asciiTheme="minorEastAsia" w:hAnsiTheme="minorEastAsia"/>
        </w:rPr>
        <w:t>. &amp; McTighe, J.著</w:t>
      </w:r>
      <w:r>
        <w:t>（</w:t>
      </w:r>
      <w:r>
        <w:rPr>
          <w:rFonts w:hint="eastAsia"/>
        </w:rPr>
        <w:t>2005/2008</w:t>
      </w:r>
      <w:r>
        <w:t>）。</w:t>
      </w:r>
      <w:r w:rsidRPr="00FA287F">
        <w:rPr>
          <w:b/>
        </w:rPr>
        <w:t>重理解的課程設計</w:t>
      </w:r>
      <w:r>
        <w:t>。臺北：心理。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02EA" w:rsidRDefault="00BB02EA" w:rsidP="005D0003">
    <w:pPr>
      <w:pStyle w:val="a3"/>
      <w:jc w:val="right"/>
    </w:pPr>
    <w:r>
      <w:t>課程理念篇</w:t>
    </w:r>
    <w:r>
      <w:t>—1.2</w:t>
    </w:r>
    <w:r>
      <w:t>素養導向與議題融入（范信賢、陳偉泓、林佳慧）</w:t>
    </w:r>
  </w:p>
  <w:p w:rsidR="0080577E" w:rsidRDefault="00BB02EA" w:rsidP="0080577E">
    <w:pPr>
      <w:pStyle w:val="a3"/>
      <w:jc w:val="right"/>
    </w:pPr>
    <w:r>
      <w:rPr>
        <w:rFonts w:hint="eastAsia"/>
      </w:rPr>
      <w:t>105</w:t>
    </w:r>
    <w:r w:rsidR="00FD4A0B">
      <w:t>1020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C1E86"/>
    <w:multiLevelType w:val="hybridMultilevel"/>
    <w:tmpl w:val="07628E8A"/>
    <w:lvl w:ilvl="0" w:tplc="57D03252">
      <w:numFmt w:val="bullet"/>
      <w:lvlText w:val="‧"/>
      <w:lvlJc w:val="left"/>
      <w:pPr>
        <w:ind w:left="360" w:hanging="360"/>
      </w:pPr>
      <w:rPr>
        <w:rFonts w:ascii="新細明體" w:eastAsia="新細明體" w:hAnsi="新細明體" w:cs="NewInnMing-Light" w:hint="eastAsia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9762432"/>
    <w:multiLevelType w:val="hybridMultilevel"/>
    <w:tmpl w:val="89D88D54"/>
    <w:lvl w:ilvl="0" w:tplc="0F8857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8716D8F"/>
    <w:multiLevelType w:val="hybridMultilevel"/>
    <w:tmpl w:val="87D80184"/>
    <w:lvl w:ilvl="0" w:tplc="C9B473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0ED61A4"/>
    <w:multiLevelType w:val="hybridMultilevel"/>
    <w:tmpl w:val="76F89648"/>
    <w:lvl w:ilvl="0" w:tplc="A91C2A86">
      <w:start w:val="1"/>
      <w:numFmt w:val="bullet"/>
      <w:lvlText w:val="•"/>
      <w:lvlJc w:val="left"/>
      <w:pPr>
        <w:ind w:left="840" w:hanging="480"/>
      </w:pPr>
      <w:rPr>
        <w:rFonts w:ascii="Arial" w:hAnsi="Arial" w:hint="default"/>
      </w:rPr>
    </w:lvl>
    <w:lvl w:ilvl="1" w:tplc="04090003">
      <w:start w:val="1"/>
      <w:numFmt w:val="bullet"/>
      <w:lvlText w:val=""/>
      <w:lvlJc w:val="left"/>
      <w:pPr>
        <w:ind w:left="13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80" w:hanging="480"/>
      </w:pPr>
      <w:rPr>
        <w:rFonts w:ascii="Wingdings" w:hAnsi="Wingdings" w:hint="default"/>
      </w:rPr>
    </w:lvl>
  </w:abstractNum>
  <w:abstractNum w:abstractNumId="4" w15:restartNumberingAfterBreak="0">
    <w:nsid w:val="22997AF3"/>
    <w:multiLevelType w:val="hybridMultilevel"/>
    <w:tmpl w:val="7B328DB8"/>
    <w:lvl w:ilvl="0" w:tplc="3A7AA366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24894520"/>
    <w:multiLevelType w:val="hybridMultilevel"/>
    <w:tmpl w:val="FC029EC6"/>
    <w:lvl w:ilvl="0" w:tplc="A91C2A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D1E807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330C7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1C4B4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FAA41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05CC2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8A13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F94B5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37C75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4B907F4"/>
    <w:multiLevelType w:val="hybridMultilevel"/>
    <w:tmpl w:val="83364634"/>
    <w:lvl w:ilvl="0" w:tplc="BADAEB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AAEFC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06EC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A10EB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200F3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CC7C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44B1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DDABF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C7AF6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28FF7153"/>
    <w:multiLevelType w:val="hybridMultilevel"/>
    <w:tmpl w:val="9DC28624"/>
    <w:lvl w:ilvl="0" w:tplc="04090005">
      <w:start w:val="1"/>
      <w:numFmt w:val="bullet"/>
      <w:lvlText w:val="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2A897753"/>
    <w:multiLevelType w:val="hybridMultilevel"/>
    <w:tmpl w:val="3DEC1086"/>
    <w:lvl w:ilvl="0" w:tplc="AA1A18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6424E60"/>
    <w:multiLevelType w:val="hybridMultilevel"/>
    <w:tmpl w:val="08948A3E"/>
    <w:lvl w:ilvl="0" w:tplc="04090005">
      <w:start w:val="1"/>
      <w:numFmt w:val="bullet"/>
      <w:lvlText w:val="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" w15:restartNumberingAfterBreak="0">
    <w:nsid w:val="3FED21BB"/>
    <w:multiLevelType w:val="hybridMultilevel"/>
    <w:tmpl w:val="1E3418B4"/>
    <w:lvl w:ilvl="0" w:tplc="0F88571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45353E32"/>
    <w:multiLevelType w:val="hybridMultilevel"/>
    <w:tmpl w:val="78221AF2"/>
    <w:lvl w:ilvl="0" w:tplc="3A7AA366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12" w15:restartNumberingAfterBreak="0">
    <w:nsid w:val="79922E2F"/>
    <w:multiLevelType w:val="hybridMultilevel"/>
    <w:tmpl w:val="D2905516"/>
    <w:lvl w:ilvl="0" w:tplc="7916C212">
      <w:start w:val="3"/>
      <w:numFmt w:val="bullet"/>
      <w:lvlText w:val="‧"/>
      <w:lvlJc w:val="left"/>
      <w:pPr>
        <w:ind w:left="360" w:hanging="360"/>
      </w:pPr>
      <w:rPr>
        <w:rFonts w:ascii="新細明體" w:eastAsia="新細明體" w:hAnsi="新細明體" w:cs="NewInnMing-Light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2"/>
  </w:num>
  <w:num w:numId="5">
    <w:abstractNumId w:val="0"/>
  </w:num>
  <w:num w:numId="6">
    <w:abstractNumId w:val="11"/>
  </w:num>
  <w:num w:numId="7">
    <w:abstractNumId w:val="9"/>
  </w:num>
  <w:num w:numId="8">
    <w:abstractNumId w:val="6"/>
  </w:num>
  <w:num w:numId="9">
    <w:abstractNumId w:val="10"/>
  </w:num>
  <w:num w:numId="10">
    <w:abstractNumId w:val="1"/>
  </w:num>
  <w:num w:numId="11">
    <w:abstractNumId w:val="7"/>
  </w:num>
  <w:num w:numId="12">
    <w:abstractNumId w:val="3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7FF5"/>
    <w:rsid w:val="00003D2D"/>
    <w:rsid w:val="000251B5"/>
    <w:rsid w:val="00035E0E"/>
    <w:rsid w:val="0003663C"/>
    <w:rsid w:val="00041B4D"/>
    <w:rsid w:val="00054619"/>
    <w:rsid w:val="000552CF"/>
    <w:rsid w:val="00057A25"/>
    <w:rsid w:val="00065F35"/>
    <w:rsid w:val="00066B39"/>
    <w:rsid w:val="000773FB"/>
    <w:rsid w:val="00090411"/>
    <w:rsid w:val="000C4E11"/>
    <w:rsid w:val="000C5D45"/>
    <w:rsid w:val="000E282B"/>
    <w:rsid w:val="000F0A59"/>
    <w:rsid w:val="0017704C"/>
    <w:rsid w:val="001A33AD"/>
    <w:rsid w:val="001B4726"/>
    <w:rsid w:val="001C58B8"/>
    <w:rsid w:val="001E4BBB"/>
    <w:rsid w:val="001E76EE"/>
    <w:rsid w:val="00221EE8"/>
    <w:rsid w:val="00235938"/>
    <w:rsid w:val="00252DDF"/>
    <w:rsid w:val="00297A31"/>
    <w:rsid w:val="00297FF5"/>
    <w:rsid w:val="002B1B2F"/>
    <w:rsid w:val="002B3E16"/>
    <w:rsid w:val="002C7591"/>
    <w:rsid w:val="002E0CA3"/>
    <w:rsid w:val="002E2247"/>
    <w:rsid w:val="002F1A22"/>
    <w:rsid w:val="002F597C"/>
    <w:rsid w:val="00307AEE"/>
    <w:rsid w:val="003703B3"/>
    <w:rsid w:val="003751CB"/>
    <w:rsid w:val="00375CC7"/>
    <w:rsid w:val="003F152A"/>
    <w:rsid w:val="003F2FB5"/>
    <w:rsid w:val="0040165C"/>
    <w:rsid w:val="0040428A"/>
    <w:rsid w:val="00422802"/>
    <w:rsid w:val="004257DF"/>
    <w:rsid w:val="004406F3"/>
    <w:rsid w:val="00446CC5"/>
    <w:rsid w:val="00461C88"/>
    <w:rsid w:val="00477C27"/>
    <w:rsid w:val="004846F8"/>
    <w:rsid w:val="004F6B4C"/>
    <w:rsid w:val="00512C69"/>
    <w:rsid w:val="005313CC"/>
    <w:rsid w:val="00561B19"/>
    <w:rsid w:val="0056633A"/>
    <w:rsid w:val="00574986"/>
    <w:rsid w:val="0059016B"/>
    <w:rsid w:val="0059406D"/>
    <w:rsid w:val="005C211C"/>
    <w:rsid w:val="005C694E"/>
    <w:rsid w:val="005D0003"/>
    <w:rsid w:val="005D4699"/>
    <w:rsid w:val="005F6CCA"/>
    <w:rsid w:val="005F7729"/>
    <w:rsid w:val="00634C43"/>
    <w:rsid w:val="00683FB4"/>
    <w:rsid w:val="006848BC"/>
    <w:rsid w:val="006C5B21"/>
    <w:rsid w:val="006D1866"/>
    <w:rsid w:val="006D4597"/>
    <w:rsid w:val="006E32D7"/>
    <w:rsid w:val="006F4225"/>
    <w:rsid w:val="007117D7"/>
    <w:rsid w:val="007162B6"/>
    <w:rsid w:val="00733A2D"/>
    <w:rsid w:val="00735D39"/>
    <w:rsid w:val="00743DB9"/>
    <w:rsid w:val="00747ED6"/>
    <w:rsid w:val="00771A91"/>
    <w:rsid w:val="007C06D8"/>
    <w:rsid w:val="008014B4"/>
    <w:rsid w:val="008016C3"/>
    <w:rsid w:val="0080577E"/>
    <w:rsid w:val="008064E8"/>
    <w:rsid w:val="0081085F"/>
    <w:rsid w:val="00830584"/>
    <w:rsid w:val="00833AB2"/>
    <w:rsid w:val="008E1EC8"/>
    <w:rsid w:val="009077DC"/>
    <w:rsid w:val="00921C5C"/>
    <w:rsid w:val="00946B53"/>
    <w:rsid w:val="0097254E"/>
    <w:rsid w:val="009A5F9D"/>
    <w:rsid w:val="009B7BC5"/>
    <w:rsid w:val="009D2A9A"/>
    <w:rsid w:val="009D4B1D"/>
    <w:rsid w:val="00A113A3"/>
    <w:rsid w:val="00A577ED"/>
    <w:rsid w:val="00A732C4"/>
    <w:rsid w:val="00A816C9"/>
    <w:rsid w:val="00AD4C7A"/>
    <w:rsid w:val="00AE7BB1"/>
    <w:rsid w:val="00B104A2"/>
    <w:rsid w:val="00B300F4"/>
    <w:rsid w:val="00B37332"/>
    <w:rsid w:val="00B61D97"/>
    <w:rsid w:val="00B653CB"/>
    <w:rsid w:val="00B66943"/>
    <w:rsid w:val="00BA451A"/>
    <w:rsid w:val="00BA5D46"/>
    <w:rsid w:val="00BA7367"/>
    <w:rsid w:val="00BB02EA"/>
    <w:rsid w:val="00BB1C4C"/>
    <w:rsid w:val="00BC12C1"/>
    <w:rsid w:val="00BD3464"/>
    <w:rsid w:val="00BE4764"/>
    <w:rsid w:val="00C04135"/>
    <w:rsid w:val="00C15031"/>
    <w:rsid w:val="00C24924"/>
    <w:rsid w:val="00C32EF9"/>
    <w:rsid w:val="00C41F92"/>
    <w:rsid w:val="00C429E5"/>
    <w:rsid w:val="00C444F4"/>
    <w:rsid w:val="00C565BD"/>
    <w:rsid w:val="00C72183"/>
    <w:rsid w:val="00C9699B"/>
    <w:rsid w:val="00CD4F27"/>
    <w:rsid w:val="00CD6964"/>
    <w:rsid w:val="00CE6236"/>
    <w:rsid w:val="00D04C93"/>
    <w:rsid w:val="00D22888"/>
    <w:rsid w:val="00D428D1"/>
    <w:rsid w:val="00D759A0"/>
    <w:rsid w:val="00DA4547"/>
    <w:rsid w:val="00DB1AAB"/>
    <w:rsid w:val="00DC56CB"/>
    <w:rsid w:val="00DC73CB"/>
    <w:rsid w:val="00DD0FFF"/>
    <w:rsid w:val="00DD25C4"/>
    <w:rsid w:val="00E01269"/>
    <w:rsid w:val="00E25885"/>
    <w:rsid w:val="00E42BCE"/>
    <w:rsid w:val="00E66486"/>
    <w:rsid w:val="00E94DFF"/>
    <w:rsid w:val="00ED2D05"/>
    <w:rsid w:val="00EF40E7"/>
    <w:rsid w:val="00F52FD7"/>
    <w:rsid w:val="00F532B2"/>
    <w:rsid w:val="00F94802"/>
    <w:rsid w:val="00FC4677"/>
    <w:rsid w:val="00FD4A0B"/>
    <w:rsid w:val="00FF16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75F92B30-2D1F-4FB0-B5B0-AAA6768B5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16C9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rsid w:val="00297FF5"/>
    <w:rPr>
      <w:rFonts w:ascii="Times New Roman" w:eastAsia="新細明體" w:hAnsi="Times New Roman" w:cs="Times New Roman"/>
      <w:sz w:val="22"/>
      <w:szCs w:val="24"/>
    </w:rPr>
  </w:style>
  <w:style w:type="character" w:customStyle="1" w:styleId="20">
    <w:name w:val="本文 2 字元"/>
    <w:basedOn w:val="a0"/>
    <w:link w:val="2"/>
    <w:semiHidden/>
    <w:rsid w:val="00297FF5"/>
    <w:rPr>
      <w:rFonts w:ascii="Times New Roman" w:eastAsia="新細明體" w:hAnsi="Times New Roman" w:cs="Times New Roman"/>
      <w:sz w:val="22"/>
      <w:szCs w:val="24"/>
    </w:rPr>
  </w:style>
  <w:style w:type="paragraph" w:styleId="a3">
    <w:name w:val="header"/>
    <w:basedOn w:val="a"/>
    <w:link w:val="a4"/>
    <w:uiPriority w:val="99"/>
    <w:unhideWhenUsed/>
    <w:rsid w:val="00057A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057A2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57A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057A25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4257D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4257DF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Hyperlink"/>
    <w:basedOn w:val="a0"/>
    <w:uiPriority w:val="99"/>
    <w:unhideWhenUsed/>
    <w:rsid w:val="00D759A0"/>
    <w:rPr>
      <w:color w:val="0563C1" w:themeColor="hyperlink"/>
      <w:u w:val="single"/>
    </w:rPr>
  </w:style>
  <w:style w:type="paragraph" w:styleId="aa">
    <w:name w:val="footnote text"/>
    <w:basedOn w:val="a"/>
    <w:link w:val="ab"/>
    <w:uiPriority w:val="99"/>
    <w:semiHidden/>
    <w:unhideWhenUsed/>
    <w:rsid w:val="00921C5C"/>
    <w:pPr>
      <w:snapToGrid w:val="0"/>
    </w:pPr>
    <w:rPr>
      <w:sz w:val="20"/>
      <w:szCs w:val="20"/>
    </w:rPr>
  </w:style>
  <w:style w:type="character" w:customStyle="1" w:styleId="ab">
    <w:name w:val="註腳文字 字元"/>
    <w:basedOn w:val="a0"/>
    <w:link w:val="aa"/>
    <w:uiPriority w:val="99"/>
    <w:semiHidden/>
    <w:rsid w:val="00921C5C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921C5C"/>
    <w:rPr>
      <w:vertAlign w:val="superscript"/>
    </w:rPr>
  </w:style>
  <w:style w:type="paragraph" w:styleId="ad">
    <w:name w:val="List Paragraph"/>
    <w:basedOn w:val="a"/>
    <w:uiPriority w:val="34"/>
    <w:qFormat/>
    <w:rsid w:val="00DD25C4"/>
    <w:pPr>
      <w:ind w:leftChars="200" w:left="480"/>
    </w:pPr>
  </w:style>
  <w:style w:type="paragraph" w:styleId="ae">
    <w:name w:val="Body Text"/>
    <w:basedOn w:val="a"/>
    <w:link w:val="af"/>
    <w:uiPriority w:val="99"/>
    <w:semiHidden/>
    <w:unhideWhenUsed/>
    <w:rsid w:val="0097254E"/>
    <w:pPr>
      <w:spacing w:after="120"/>
    </w:pPr>
  </w:style>
  <w:style w:type="character" w:customStyle="1" w:styleId="af">
    <w:name w:val="本文 字元"/>
    <w:basedOn w:val="a0"/>
    <w:link w:val="ae"/>
    <w:uiPriority w:val="99"/>
    <w:semiHidden/>
    <w:rsid w:val="0097254E"/>
  </w:style>
  <w:style w:type="table" w:styleId="af0">
    <w:name w:val="Table Grid"/>
    <w:basedOn w:val="a1"/>
    <w:uiPriority w:val="39"/>
    <w:rsid w:val="001C58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Date"/>
    <w:basedOn w:val="a"/>
    <w:next w:val="a"/>
    <w:link w:val="af2"/>
    <w:uiPriority w:val="99"/>
    <w:semiHidden/>
    <w:unhideWhenUsed/>
    <w:rsid w:val="00054619"/>
    <w:pPr>
      <w:jc w:val="right"/>
    </w:pPr>
  </w:style>
  <w:style w:type="character" w:customStyle="1" w:styleId="af2">
    <w:name w:val="日期 字元"/>
    <w:basedOn w:val="a0"/>
    <w:link w:val="af1"/>
    <w:uiPriority w:val="99"/>
    <w:semiHidden/>
    <w:rsid w:val="00054619"/>
  </w:style>
  <w:style w:type="paragraph" w:styleId="1">
    <w:name w:val="toc 1"/>
    <w:basedOn w:val="a"/>
    <w:next w:val="a"/>
    <w:autoRedefine/>
    <w:uiPriority w:val="39"/>
    <w:unhideWhenUsed/>
    <w:rsid w:val="006E32D7"/>
    <w:pPr>
      <w:tabs>
        <w:tab w:val="right" w:leader="dot" w:pos="8296"/>
      </w:tabs>
      <w:ind w:left="490" w:hangingChars="204" w:hanging="490"/>
    </w:pPr>
    <w:rPr>
      <w:rFonts w:ascii="標楷體" w:eastAsia="標楷體" w:hAnsi="標楷體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143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95766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56386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448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99751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66446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86757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1581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8758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06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9423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ulse.naer.edu.tw/content.aspx?type=H&amp;sid=198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A6E035-AF31-4053-BDAF-1A32F8FD02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770</Words>
  <Characters>4392</Characters>
  <Application>Microsoft Office Word</Application>
  <DocSecurity>0</DocSecurity>
  <Lines>36</Lines>
  <Paragraphs>10</Paragraphs>
  <ScaleCrop>false</ScaleCrop>
  <Company>HOME</Company>
  <LinksUpToDate>false</LinksUpToDate>
  <CharactersWithSpaces>5152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samfan</dc:creator>
  <cp:lastModifiedBy>taes-user</cp:lastModifiedBy>
  <cp:revision>2</cp:revision>
  <dcterms:created xsi:type="dcterms:W3CDTF">2017-02-23T07:19:00Z</dcterms:created>
  <dcterms:modified xsi:type="dcterms:W3CDTF">2017-02-23T07:19:00Z</dcterms:modified>
</cp:coreProperties>
</file>